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30" w:rsidRPr="004979C3" w:rsidRDefault="004A1A06" w:rsidP="001D5B30">
      <w:pPr>
        <w:rPr>
          <w:sz w:val="10"/>
        </w:rPr>
      </w:pPr>
      <w:r>
        <w:t xml:space="preserve">     </w:t>
      </w:r>
      <w:r w:rsidR="004979C3">
        <w:t xml:space="preserve">    </w:t>
      </w:r>
    </w:p>
    <w:tbl>
      <w:tblPr>
        <w:tblStyle w:val="TableGrid"/>
        <w:tblpPr w:leftFromText="180" w:rightFromText="180" w:vertAnchor="text" w:tblpY="1"/>
        <w:tblOverlap w:val="never"/>
        <w:tblW w:w="10908" w:type="dxa"/>
        <w:tblLook w:val="04A0" w:firstRow="1" w:lastRow="0" w:firstColumn="1" w:lastColumn="0" w:noHBand="0" w:noVBand="1"/>
      </w:tblPr>
      <w:tblGrid>
        <w:gridCol w:w="1458"/>
        <w:gridCol w:w="3060"/>
        <w:gridCol w:w="1620"/>
        <w:gridCol w:w="4770"/>
      </w:tblGrid>
      <w:tr w:rsidR="004979C3" w:rsidRPr="0049038E" w:rsidTr="004979C3">
        <w:tc>
          <w:tcPr>
            <w:tcW w:w="1458" w:type="dxa"/>
            <w:shd w:val="clear" w:color="auto" w:fill="D9D9D9" w:themeFill="background1" w:themeFillShade="D9"/>
          </w:tcPr>
          <w:p w:rsidR="004979C3" w:rsidRPr="0049038E" w:rsidRDefault="004979C3" w:rsidP="004979C3">
            <w:pPr>
              <w:rPr>
                <w:b/>
                <w:sz w:val="20"/>
                <w:szCs w:val="20"/>
              </w:rPr>
            </w:pPr>
            <w:r w:rsidRPr="0049038E">
              <w:rPr>
                <w:b/>
                <w:sz w:val="20"/>
                <w:szCs w:val="20"/>
              </w:rPr>
              <w:t>School Year</w:t>
            </w:r>
          </w:p>
        </w:tc>
        <w:tc>
          <w:tcPr>
            <w:tcW w:w="3060" w:type="dxa"/>
          </w:tcPr>
          <w:p w:rsidR="004979C3" w:rsidRPr="0049038E" w:rsidRDefault="004979C3" w:rsidP="004979C3">
            <w:pPr>
              <w:rPr>
                <w:rFonts w:cstheme="minorHAnsi"/>
                <w:sz w:val="20"/>
                <w:szCs w:val="20"/>
              </w:rPr>
            </w:pPr>
            <w:r>
              <w:rPr>
                <w:rFonts w:cstheme="minorHAnsi"/>
                <w:sz w:val="20"/>
                <w:szCs w:val="20"/>
              </w:rPr>
              <w:t>2014-2015</w:t>
            </w:r>
          </w:p>
        </w:tc>
        <w:tc>
          <w:tcPr>
            <w:tcW w:w="1620" w:type="dxa"/>
            <w:shd w:val="clear" w:color="auto" w:fill="D9D9D9" w:themeFill="background1" w:themeFillShade="D9"/>
          </w:tcPr>
          <w:p w:rsidR="004979C3" w:rsidRPr="0049038E" w:rsidRDefault="004979C3" w:rsidP="004979C3">
            <w:pPr>
              <w:rPr>
                <w:rFonts w:cstheme="minorHAnsi"/>
                <w:b/>
                <w:sz w:val="20"/>
                <w:szCs w:val="20"/>
              </w:rPr>
            </w:pPr>
            <w:r w:rsidRPr="0049038E">
              <w:rPr>
                <w:rFonts w:cstheme="minorHAnsi"/>
                <w:b/>
                <w:sz w:val="20"/>
                <w:szCs w:val="20"/>
              </w:rPr>
              <w:t>Teacher Name</w:t>
            </w:r>
          </w:p>
        </w:tc>
        <w:tc>
          <w:tcPr>
            <w:tcW w:w="4770" w:type="dxa"/>
          </w:tcPr>
          <w:p w:rsidR="004979C3" w:rsidRPr="0049038E" w:rsidRDefault="004979C3" w:rsidP="004979C3">
            <w:pPr>
              <w:rPr>
                <w:rFonts w:cstheme="minorHAnsi"/>
                <w:sz w:val="20"/>
                <w:szCs w:val="20"/>
              </w:rPr>
            </w:pPr>
            <w:r>
              <w:rPr>
                <w:rFonts w:cstheme="minorHAnsi"/>
                <w:sz w:val="20"/>
                <w:szCs w:val="20"/>
              </w:rPr>
              <w:t xml:space="preserve">Jennifer Braun </w:t>
            </w:r>
            <w:proofErr w:type="spellStart"/>
            <w:r>
              <w:rPr>
                <w:rFonts w:cstheme="minorHAnsi"/>
                <w:sz w:val="20"/>
                <w:szCs w:val="20"/>
              </w:rPr>
              <w:t>Paliszewski</w:t>
            </w:r>
            <w:proofErr w:type="spellEnd"/>
          </w:p>
        </w:tc>
      </w:tr>
      <w:tr w:rsidR="004979C3" w:rsidRPr="0049038E" w:rsidTr="004979C3">
        <w:tc>
          <w:tcPr>
            <w:tcW w:w="1458" w:type="dxa"/>
            <w:shd w:val="clear" w:color="auto" w:fill="D9D9D9" w:themeFill="background1" w:themeFillShade="D9"/>
          </w:tcPr>
          <w:p w:rsidR="004979C3" w:rsidRPr="0049038E" w:rsidRDefault="004979C3" w:rsidP="004979C3">
            <w:pPr>
              <w:rPr>
                <w:b/>
                <w:sz w:val="20"/>
                <w:szCs w:val="20"/>
              </w:rPr>
            </w:pPr>
            <w:r w:rsidRPr="0049038E">
              <w:rPr>
                <w:b/>
                <w:sz w:val="20"/>
                <w:szCs w:val="20"/>
              </w:rPr>
              <w:t>Room/Office</w:t>
            </w:r>
          </w:p>
        </w:tc>
        <w:tc>
          <w:tcPr>
            <w:tcW w:w="3060" w:type="dxa"/>
          </w:tcPr>
          <w:p w:rsidR="004979C3" w:rsidRPr="0049038E" w:rsidRDefault="004979C3" w:rsidP="004979C3">
            <w:pPr>
              <w:rPr>
                <w:rFonts w:cstheme="minorHAnsi"/>
                <w:sz w:val="20"/>
                <w:szCs w:val="20"/>
              </w:rPr>
            </w:pPr>
            <w:r>
              <w:rPr>
                <w:rFonts w:cstheme="minorHAnsi"/>
                <w:sz w:val="20"/>
                <w:szCs w:val="20"/>
              </w:rPr>
              <w:t>room 230</w:t>
            </w:r>
          </w:p>
        </w:tc>
        <w:tc>
          <w:tcPr>
            <w:tcW w:w="1620" w:type="dxa"/>
            <w:shd w:val="clear" w:color="auto" w:fill="D9D9D9" w:themeFill="background1" w:themeFillShade="D9"/>
          </w:tcPr>
          <w:p w:rsidR="004979C3" w:rsidRPr="0049038E" w:rsidRDefault="004979C3" w:rsidP="004979C3">
            <w:pPr>
              <w:rPr>
                <w:b/>
                <w:sz w:val="20"/>
                <w:szCs w:val="20"/>
              </w:rPr>
            </w:pPr>
            <w:r w:rsidRPr="0049038E">
              <w:rPr>
                <w:b/>
                <w:sz w:val="20"/>
                <w:szCs w:val="20"/>
              </w:rPr>
              <w:t>Website</w:t>
            </w:r>
          </w:p>
        </w:tc>
        <w:tc>
          <w:tcPr>
            <w:tcW w:w="4770" w:type="dxa"/>
          </w:tcPr>
          <w:p w:rsidR="004979C3" w:rsidRPr="0049038E" w:rsidRDefault="004979C3" w:rsidP="004979C3">
            <w:pPr>
              <w:rPr>
                <w:rFonts w:cstheme="minorHAnsi"/>
                <w:sz w:val="20"/>
                <w:szCs w:val="20"/>
              </w:rPr>
            </w:pPr>
            <w:r>
              <w:rPr>
                <w:rFonts w:cstheme="minorHAnsi"/>
                <w:sz w:val="20"/>
                <w:szCs w:val="20"/>
              </w:rPr>
              <w:t>braunpaliszewski@weebly.com</w:t>
            </w:r>
          </w:p>
        </w:tc>
      </w:tr>
      <w:tr w:rsidR="004979C3" w:rsidRPr="0049038E" w:rsidTr="004979C3">
        <w:tc>
          <w:tcPr>
            <w:tcW w:w="1458" w:type="dxa"/>
            <w:shd w:val="clear" w:color="auto" w:fill="D9D9D9" w:themeFill="background1" w:themeFillShade="D9"/>
          </w:tcPr>
          <w:p w:rsidR="004979C3" w:rsidRPr="0049038E" w:rsidRDefault="004979C3" w:rsidP="004979C3">
            <w:pPr>
              <w:rPr>
                <w:b/>
                <w:sz w:val="20"/>
                <w:szCs w:val="20"/>
              </w:rPr>
            </w:pPr>
            <w:r w:rsidRPr="0049038E">
              <w:rPr>
                <w:b/>
                <w:sz w:val="20"/>
                <w:szCs w:val="20"/>
              </w:rPr>
              <w:t>Phone</w:t>
            </w:r>
          </w:p>
        </w:tc>
        <w:tc>
          <w:tcPr>
            <w:tcW w:w="3060" w:type="dxa"/>
          </w:tcPr>
          <w:p w:rsidR="004979C3" w:rsidRPr="00EF7F42" w:rsidRDefault="004979C3" w:rsidP="004979C3">
            <w:pPr>
              <w:rPr>
                <w:rFonts w:cstheme="minorHAnsi"/>
                <w:sz w:val="20"/>
                <w:szCs w:val="20"/>
              </w:rPr>
            </w:pPr>
            <w:r w:rsidRPr="00EF7F42">
              <w:rPr>
                <w:rFonts w:cstheme="minorHAnsi"/>
                <w:sz w:val="20"/>
                <w:szCs w:val="20"/>
              </w:rPr>
              <w:t xml:space="preserve">720-972-4444  </w:t>
            </w:r>
            <w:proofErr w:type="spellStart"/>
            <w:r w:rsidRPr="00EF7F42">
              <w:rPr>
                <w:rFonts w:cstheme="minorHAnsi"/>
                <w:sz w:val="20"/>
                <w:szCs w:val="20"/>
              </w:rPr>
              <w:t>ext</w:t>
            </w:r>
            <w:proofErr w:type="spellEnd"/>
            <w:r w:rsidRPr="00EF7F42">
              <w:rPr>
                <w:rFonts w:cstheme="minorHAnsi"/>
                <w:sz w:val="20"/>
                <w:szCs w:val="20"/>
              </w:rPr>
              <w:t xml:space="preserve"> 2664</w:t>
            </w:r>
          </w:p>
        </w:tc>
        <w:tc>
          <w:tcPr>
            <w:tcW w:w="1620" w:type="dxa"/>
            <w:vMerge w:val="restart"/>
            <w:shd w:val="clear" w:color="auto" w:fill="D9D9D9" w:themeFill="background1" w:themeFillShade="D9"/>
          </w:tcPr>
          <w:p w:rsidR="004979C3" w:rsidRPr="0049038E" w:rsidRDefault="004979C3" w:rsidP="004979C3">
            <w:pPr>
              <w:rPr>
                <w:b/>
                <w:sz w:val="20"/>
                <w:szCs w:val="20"/>
              </w:rPr>
            </w:pPr>
            <w:r w:rsidRPr="0049038E">
              <w:rPr>
                <w:b/>
                <w:sz w:val="20"/>
                <w:szCs w:val="20"/>
              </w:rPr>
              <w:t>Blog</w:t>
            </w:r>
          </w:p>
        </w:tc>
        <w:tc>
          <w:tcPr>
            <w:tcW w:w="4770" w:type="dxa"/>
            <w:vMerge w:val="restart"/>
          </w:tcPr>
          <w:p w:rsidR="004979C3" w:rsidRPr="0049038E" w:rsidRDefault="004979C3" w:rsidP="004979C3">
            <w:pPr>
              <w:rPr>
                <w:rFonts w:cstheme="minorHAnsi"/>
                <w:sz w:val="20"/>
                <w:szCs w:val="20"/>
              </w:rPr>
            </w:pPr>
            <w:r>
              <w:rPr>
                <w:rFonts w:cstheme="minorHAnsi"/>
                <w:sz w:val="20"/>
                <w:szCs w:val="20"/>
              </w:rPr>
              <w:t>N/A</w:t>
            </w:r>
          </w:p>
        </w:tc>
      </w:tr>
      <w:tr w:rsidR="004979C3" w:rsidRPr="0049038E" w:rsidTr="004979C3">
        <w:tc>
          <w:tcPr>
            <w:tcW w:w="1458" w:type="dxa"/>
            <w:shd w:val="clear" w:color="auto" w:fill="D9D9D9" w:themeFill="background1" w:themeFillShade="D9"/>
          </w:tcPr>
          <w:p w:rsidR="004979C3" w:rsidRPr="0049038E" w:rsidRDefault="004979C3" w:rsidP="004979C3">
            <w:pPr>
              <w:rPr>
                <w:rFonts w:cstheme="minorHAnsi"/>
                <w:sz w:val="20"/>
                <w:szCs w:val="20"/>
              </w:rPr>
            </w:pPr>
            <w:r w:rsidRPr="0049038E">
              <w:rPr>
                <w:b/>
                <w:sz w:val="20"/>
                <w:szCs w:val="20"/>
              </w:rPr>
              <w:t>Email Address</w:t>
            </w:r>
          </w:p>
        </w:tc>
        <w:tc>
          <w:tcPr>
            <w:tcW w:w="3060" w:type="dxa"/>
          </w:tcPr>
          <w:p w:rsidR="004979C3" w:rsidRPr="00EF7F42" w:rsidRDefault="004979C3" w:rsidP="004979C3">
            <w:pPr>
              <w:rPr>
                <w:rFonts w:cstheme="minorHAnsi"/>
                <w:sz w:val="20"/>
                <w:szCs w:val="20"/>
              </w:rPr>
            </w:pPr>
            <w:r w:rsidRPr="00EF7F42">
              <w:rPr>
                <w:rFonts w:cstheme="minorHAnsi"/>
                <w:sz w:val="20"/>
                <w:szCs w:val="20"/>
              </w:rPr>
              <w:t xml:space="preserve"> Jennifer.Braun@adams12.org</w:t>
            </w:r>
          </w:p>
        </w:tc>
        <w:tc>
          <w:tcPr>
            <w:tcW w:w="1620" w:type="dxa"/>
            <w:vMerge/>
            <w:shd w:val="clear" w:color="auto" w:fill="D9D9D9" w:themeFill="background1" w:themeFillShade="D9"/>
          </w:tcPr>
          <w:p w:rsidR="004979C3" w:rsidRPr="0049038E" w:rsidRDefault="004979C3" w:rsidP="004979C3">
            <w:pPr>
              <w:rPr>
                <w:rFonts w:cstheme="minorHAnsi"/>
                <w:sz w:val="20"/>
                <w:szCs w:val="20"/>
              </w:rPr>
            </w:pPr>
          </w:p>
        </w:tc>
        <w:tc>
          <w:tcPr>
            <w:tcW w:w="4770" w:type="dxa"/>
            <w:vMerge/>
          </w:tcPr>
          <w:p w:rsidR="004979C3" w:rsidRPr="0049038E" w:rsidRDefault="004979C3" w:rsidP="004979C3">
            <w:pPr>
              <w:rPr>
                <w:rFonts w:cstheme="minorHAnsi"/>
                <w:sz w:val="20"/>
                <w:szCs w:val="20"/>
              </w:rPr>
            </w:pPr>
          </w:p>
        </w:tc>
      </w:tr>
      <w:tr w:rsidR="004979C3" w:rsidRPr="0049038E" w:rsidTr="004979C3">
        <w:tc>
          <w:tcPr>
            <w:tcW w:w="1458" w:type="dxa"/>
            <w:shd w:val="clear" w:color="auto" w:fill="D9D9D9" w:themeFill="background1" w:themeFillShade="D9"/>
          </w:tcPr>
          <w:p w:rsidR="004979C3" w:rsidRPr="0049038E" w:rsidRDefault="004979C3" w:rsidP="004979C3">
            <w:pPr>
              <w:rPr>
                <w:b/>
                <w:sz w:val="20"/>
                <w:szCs w:val="20"/>
              </w:rPr>
            </w:pPr>
            <w:r>
              <w:rPr>
                <w:b/>
                <w:sz w:val="20"/>
                <w:szCs w:val="20"/>
              </w:rPr>
              <w:t>PBL Title</w:t>
            </w:r>
          </w:p>
        </w:tc>
        <w:tc>
          <w:tcPr>
            <w:tcW w:w="3060" w:type="dxa"/>
          </w:tcPr>
          <w:p w:rsidR="004979C3" w:rsidRDefault="004979C3" w:rsidP="004979C3">
            <w:pPr>
              <w:rPr>
                <w:rFonts w:cstheme="minorHAnsi"/>
                <w:sz w:val="20"/>
                <w:szCs w:val="20"/>
              </w:rPr>
            </w:pPr>
            <w:r>
              <w:rPr>
                <w:rFonts w:cstheme="minorHAnsi"/>
                <w:sz w:val="20"/>
                <w:szCs w:val="20"/>
              </w:rPr>
              <w:t>TBD</w:t>
            </w:r>
          </w:p>
        </w:tc>
        <w:tc>
          <w:tcPr>
            <w:tcW w:w="1620" w:type="dxa"/>
            <w:shd w:val="clear" w:color="auto" w:fill="D9D9D9" w:themeFill="background1" w:themeFillShade="D9"/>
          </w:tcPr>
          <w:p w:rsidR="004979C3" w:rsidRPr="00804444" w:rsidRDefault="004979C3" w:rsidP="004979C3">
            <w:pPr>
              <w:rPr>
                <w:rFonts w:cstheme="minorHAnsi"/>
                <w:b/>
                <w:sz w:val="20"/>
                <w:szCs w:val="20"/>
              </w:rPr>
            </w:pPr>
            <w:r w:rsidRPr="00804444">
              <w:rPr>
                <w:rFonts w:cstheme="minorHAnsi"/>
                <w:b/>
                <w:sz w:val="20"/>
                <w:szCs w:val="20"/>
              </w:rPr>
              <w:t>Panel Date</w:t>
            </w:r>
          </w:p>
        </w:tc>
        <w:tc>
          <w:tcPr>
            <w:tcW w:w="4770" w:type="dxa"/>
          </w:tcPr>
          <w:p w:rsidR="004979C3" w:rsidRPr="0049038E" w:rsidRDefault="004979C3" w:rsidP="004979C3">
            <w:pPr>
              <w:rPr>
                <w:rFonts w:cstheme="minorHAnsi"/>
                <w:sz w:val="20"/>
                <w:szCs w:val="20"/>
              </w:rPr>
            </w:pPr>
            <w:r>
              <w:rPr>
                <w:rFonts w:cstheme="minorHAnsi"/>
                <w:sz w:val="20"/>
                <w:szCs w:val="20"/>
              </w:rPr>
              <w:t>TBD</w:t>
            </w:r>
          </w:p>
        </w:tc>
      </w:tr>
    </w:tbl>
    <w:p w:rsidR="003372A6" w:rsidRPr="001D5B30" w:rsidRDefault="001D5B30" w:rsidP="003372A6">
      <w:pPr>
        <w:rPr>
          <w:sz w:val="20"/>
          <w:szCs w:val="20"/>
        </w:rPr>
      </w:pPr>
      <w:r>
        <w:t xml:space="preserve">  </w:t>
      </w:r>
      <w:r w:rsidR="003372A6">
        <w:t xml:space="preserve"> </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2005"/>
        <w:gridCol w:w="4770"/>
        <w:gridCol w:w="1800"/>
        <w:gridCol w:w="1440"/>
      </w:tblGrid>
      <w:tr w:rsidR="003372A6" w:rsidTr="001D5B30">
        <w:tc>
          <w:tcPr>
            <w:tcW w:w="200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8010" w:type="dxa"/>
            <w:gridSpan w:val="3"/>
          </w:tcPr>
          <w:p w:rsidR="003372A6" w:rsidRPr="00B60605" w:rsidRDefault="001D5B30" w:rsidP="007E76DD">
            <w:pPr>
              <w:rPr>
                <w:rFonts w:cstheme="minorHAnsi"/>
                <w:sz w:val="20"/>
                <w:szCs w:val="20"/>
              </w:rPr>
            </w:pPr>
            <w:r w:rsidRPr="001D5B30">
              <w:rPr>
                <w:b/>
                <w:szCs w:val="28"/>
              </w:rPr>
              <w:t>AP Probability and Statistics</w:t>
            </w:r>
          </w:p>
        </w:tc>
      </w:tr>
      <w:tr w:rsidR="003372A6" w:rsidTr="001D5B30">
        <w:trPr>
          <w:trHeight w:val="272"/>
        </w:trPr>
        <w:tc>
          <w:tcPr>
            <w:tcW w:w="200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8010" w:type="dxa"/>
            <w:gridSpan w:val="3"/>
          </w:tcPr>
          <w:p w:rsidR="003372A6" w:rsidRDefault="001D5B30" w:rsidP="007E76DD">
            <w:pPr>
              <w:rPr>
                <w:rFonts w:ascii="Times New Roman" w:hAnsi="Times New Roman" w:cs="Times New Roman"/>
                <w:sz w:val="20"/>
                <w:szCs w:val="20"/>
              </w:rPr>
            </w:pPr>
            <w:r>
              <w:rPr>
                <w:sz w:val="20"/>
                <w:szCs w:val="20"/>
              </w:rPr>
              <w:t>The study of statistics blends the rigor, calculations, and deductive thinking of mathematics, the real-world examples and problems of the social sciences, the decision-making needs of business and medicine, and the laboratory method and experimental procedures of the natural sciences.  These multi-disciplinary aspects and applications of statistics are what eventually will make it the most rewarding of the courses you take.</w:t>
            </w:r>
          </w:p>
        </w:tc>
      </w:tr>
      <w:tr w:rsidR="00176FC3" w:rsidTr="001D5B30">
        <w:trPr>
          <w:trHeight w:val="272"/>
        </w:trPr>
        <w:tc>
          <w:tcPr>
            <w:tcW w:w="2005" w:type="dxa"/>
            <w:shd w:val="clear" w:color="auto" w:fill="D9D9D9" w:themeFill="background1" w:themeFillShade="D9"/>
            <w:vAlign w:val="center"/>
          </w:tcPr>
          <w:p w:rsidR="00176FC3" w:rsidRPr="00B60605" w:rsidRDefault="00176FC3" w:rsidP="00176FC3">
            <w:pPr>
              <w:jc w:val="center"/>
              <w:rPr>
                <w:b/>
                <w:sz w:val="20"/>
                <w:szCs w:val="20"/>
              </w:rPr>
            </w:pPr>
            <w:r>
              <w:rPr>
                <w:b/>
                <w:sz w:val="20"/>
                <w:szCs w:val="20"/>
              </w:rPr>
              <w:t>Course Text</w:t>
            </w:r>
          </w:p>
        </w:tc>
        <w:tc>
          <w:tcPr>
            <w:tcW w:w="8010" w:type="dxa"/>
            <w:gridSpan w:val="3"/>
          </w:tcPr>
          <w:p w:rsidR="00176FC3" w:rsidRPr="00176FC3" w:rsidRDefault="00176FC3" w:rsidP="00176FC3">
            <w:r>
              <w:t xml:space="preserve">Bock, David E., Paul F. </w:t>
            </w:r>
            <w:proofErr w:type="spellStart"/>
            <w:r>
              <w:t>Velleman</w:t>
            </w:r>
            <w:proofErr w:type="spellEnd"/>
            <w:r>
              <w:t xml:space="preserve"> and Richard D.  </w:t>
            </w:r>
            <w:proofErr w:type="spellStart"/>
            <w:r>
              <w:t>DeVeaux</w:t>
            </w:r>
            <w:proofErr w:type="spellEnd"/>
            <w:r>
              <w:t xml:space="preserve">.  </w:t>
            </w:r>
            <w:r>
              <w:rPr>
                <w:i/>
              </w:rPr>
              <w:t>Stats:  Modeling the World.</w:t>
            </w:r>
            <w:r>
              <w:t xml:space="preserve">  3</w:t>
            </w:r>
            <w:r w:rsidRPr="00176FC3">
              <w:rPr>
                <w:vertAlign w:val="superscript"/>
              </w:rPr>
              <w:t>rd</w:t>
            </w:r>
            <w:r>
              <w:t xml:space="preserve"> edition; Boston:  Pearson/Addison-Wesley, 2010.</w:t>
            </w:r>
          </w:p>
        </w:tc>
      </w:tr>
      <w:tr w:rsidR="003372A6" w:rsidTr="00F079DB">
        <w:tc>
          <w:tcPr>
            <w:tcW w:w="2005" w:type="dxa"/>
            <w:tcBorders>
              <w:bottom w:val="single" w:sz="4" w:space="0" w:color="auto"/>
            </w:tcBorders>
            <w:shd w:val="clear" w:color="auto" w:fill="D9D9D9" w:themeFill="background1" w:themeFillShade="D9"/>
          </w:tcPr>
          <w:p w:rsidR="003372A6" w:rsidRPr="00B60605" w:rsidRDefault="003372A6" w:rsidP="007E76DD">
            <w:pPr>
              <w:jc w:val="center"/>
              <w:rPr>
                <w:b/>
                <w:sz w:val="20"/>
                <w:szCs w:val="20"/>
              </w:rPr>
            </w:pPr>
            <w:r>
              <w:rPr>
                <w:b/>
                <w:sz w:val="20"/>
                <w:szCs w:val="20"/>
              </w:rPr>
              <w:t>Unit of Study</w:t>
            </w:r>
          </w:p>
        </w:tc>
        <w:tc>
          <w:tcPr>
            <w:tcW w:w="4770" w:type="dxa"/>
            <w:shd w:val="clear" w:color="auto" w:fill="D9D9D9" w:themeFill="background1" w:themeFillShade="D9"/>
          </w:tcPr>
          <w:p w:rsidR="003372A6" w:rsidRPr="00570649" w:rsidRDefault="003372A6" w:rsidP="007E76DD">
            <w:pPr>
              <w:jc w:val="center"/>
              <w:rPr>
                <w:b/>
                <w:sz w:val="18"/>
                <w:szCs w:val="18"/>
              </w:rPr>
            </w:pPr>
            <w:r w:rsidRPr="00B60605">
              <w:rPr>
                <w:b/>
                <w:sz w:val="20"/>
                <w:szCs w:val="20"/>
              </w:rPr>
              <w:t>Grade Level Expectations/Content Standards</w:t>
            </w:r>
          </w:p>
        </w:tc>
        <w:tc>
          <w:tcPr>
            <w:tcW w:w="1800" w:type="dxa"/>
            <w:shd w:val="clear" w:color="auto" w:fill="D9D9D9" w:themeFill="background1" w:themeFillShade="D9"/>
          </w:tcPr>
          <w:p w:rsidR="003372A6" w:rsidRPr="00570649" w:rsidRDefault="003372A6" w:rsidP="007E76DD">
            <w:pPr>
              <w:jc w:val="center"/>
              <w:rPr>
                <w:b/>
                <w:sz w:val="18"/>
                <w:szCs w:val="18"/>
              </w:rPr>
            </w:pPr>
            <w:r w:rsidRPr="00570649">
              <w:rPr>
                <w:b/>
                <w:sz w:val="18"/>
                <w:szCs w:val="18"/>
              </w:rPr>
              <w:t>Approximate Time Spent or Percent of time Spent</w:t>
            </w:r>
          </w:p>
        </w:tc>
        <w:tc>
          <w:tcPr>
            <w:tcW w:w="1440" w:type="dxa"/>
            <w:shd w:val="clear" w:color="auto" w:fill="D9D9D9" w:themeFill="background1" w:themeFillShade="D9"/>
          </w:tcPr>
          <w:p w:rsidR="003372A6" w:rsidRPr="00B60605" w:rsidRDefault="003372A6" w:rsidP="007E76DD">
            <w:pPr>
              <w:jc w:val="center"/>
              <w:rPr>
                <w:b/>
                <w:sz w:val="20"/>
                <w:szCs w:val="20"/>
              </w:rPr>
            </w:pPr>
            <w:r>
              <w:rPr>
                <w:b/>
                <w:sz w:val="20"/>
                <w:szCs w:val="20"/>
              </w:rPr>
              <w:t>Targeted Date of Assessment</w:t>
            </w:r>
            <w:r w:rsidR="00652C41">
              <w:rPr>
                <w:b/>
                <w:sz w:val="20"/>
                <w:szCs w:val="20"/>
              </w:rPr>
              <w:t>(s)</w:t>
            </w:r>
          </w:p>
        </w:tc>
      </w:tr>
      <w:tr w:rsidR="00315E0E" w:rsidTr="00F079DB">
        <w:tc>
          <w:tcPr>
            <w:tcW w:w="2005" w:type="dxa"/>
            <w:shd w:val="clear" w:color="auto" w:fill="FFFFFF" w:themeFill="background1"/>
            <w:vAlign w:val="center"/>
          </w:tcPr>
          <w:p w:rsidR="00315E0E" w:rsidRDefault="00315E0E" w:rsidP="00315E0E">
            <w:pPr>
              <w:jc w:val="center"/>
              <w:rPr>
                <w:rFonts w:cstheme="minorHAnsi"/>
                <w:sz w:val="20"/>
                <w:szCs w:val="20"/>
              </w:rPr>
            </w:pPr>
            <w:r>
              <w:rPr>
                <w:rFonts w:cstheme="minorHAnsi"/>
                <w:sz w:val="20"/>
                <w:szCs w:val="20"/>
              </w:rPr>
              <w:t>Part I</w:t>
            </w:r>
          </w:p>
          <w:p w:rsidR="00315E0E" w:rsidRPr="00B60605" w:rsidRDefault="00315E0E" w:rsidP="00315E0E">
            <w:pPr>
              <w:jc w:val="center"/>
              <w:rPr>
                <w:rFonts w:cstheme="minorHAnsi"/>
                <w:sz w:val="20"/>
                <w:szCs w:val="20"/>
              </w:rPr>
            </w:pPr>
            <w:r>
              <w:rPr>
                <w:rFonts w:cstheme="minorHAnsi"/>
                <w:sz w:val="20"/>
                <w:szCs w:val="20"/>
              </w:rPr>
              <w:t>Exploring and Understanding Data</w:t>
            </w:r>
          </w:p>
        </w:tc>
        <w:tc>
          <w:tcPr>
            <w:tcW w:w="4770" w:type="dxa"/>
            <w:vAlign w:val="center"/>
          </w:tcPr>
          <w:p w:rsidR="00315E0E" w:rsidRPr="00F079DB" w:rsidRDefault="00315E0E" w:rsidP="00315E0E">
            <w:pPr>
              <w:numPr>
                <w:ilvl w:val="0"/>
                <w:numId w:val="7"/>
              </w:numPr>
              <w:ind w:left="245" w:hanging="180"/>
              <w:rPr>
                <w:rFonts w:cstheme="minorHAnsi"/>
                <w:sz w:val="20"/>
                <w:szCs w:val="20"/>
              </w:rPr>
            </w:pPr>
            <w:r w:rsidRPr="00F079DB">
              <w:rPr>
                <w:rFonts w:cstheme="minorHAnsi"/>
                <w:sz w:val="20"/>
                <w:szCs w:val="20"/>
              </w:rPr>
              <w:t xml:space="preserve">Construct and interpret graphical displays of distributions of </w:t>
            </w:r>
            <w:proofErr w:type="spellStart"/>
            <w:r w:rsidRPr="00F079DB">
              <w:rPr>
                <w:rFonts w:cstheme="minorHAnsi"/>
                <w:sz w:val="20"/>
                <w:szCs w:val="20"/>
              </w:rPr>
              <w:t>univariate</w:t>
            </w:r>
            <w:proofErr w:type="spellEnd"/>
            <w:r w:rsidRPr="00F079DB">
              <w:rPr>
                <w:rFonts w:cstheme="minorHAnsi"/>
                <w:sz w:val="20"/>
                <w:szCs w:val="20"/>
              </w:rPr>
              <w:t xml:space="preserve"> data.</w:t>
            </w:r>
          </w:p>
          <w:p w:rsidR="00315E0E" w:rsidRPr="00F079DB" w:rsidRDefault="00315E0E" w:rsidP="00315E0E">
            <w:pPr>
              <w:numPr>
                <w:ilvl w:val="0"/>
                <w:numId w:val="7"/>
              </w:numPr>
              <w:ind w:left="245" w:hanging="180"/>
              <w:rPr>
                <w:rFonts w:cstheme="minorHAnsi"/>
                <w:sz w:val="20"/>
                <w:szCs w:val="20"/>
              </w:rPr>
            </w:pPr>
            <w:r w:rsidRPr="00F079DB">
              <w:rPr>
                <w:rFonts w:cstheme="minorHAnsi"/>
                <w:sz w:val="20"/>
                <w:szCs w:val="20"/>
              </w:rPr>
              <w:t xml:space="preserve">Summarize and compare distributions of </w:t>
            </w:r>
            <w:proofErr w:type="spellStart"/>
            <w:r w:rsidRPr="00F079DB">
              <w:rPr>
                <w:rFonts w:cstheme="minorHAnsi"/>
                <w:sz w:val="20"/>
                <w:szCs w:val="20"/>
              </w:rPr>
              <w:t>univariate</w:t>
            </w:r>
            <w:proofErr w:type="spellEnd"/>
            <w:r w:rsidRPr="00F079DB">
              <w:rPr>
                <w:rFonts w:cstheme="minorHAnsi"/>
                <w:sz w:val="20"/>
                <w:szCs w:val="20"/>
              </w:rPr>
              <w:t xml:space="preserve"> data.</w:t>
            </w:r>
          </w:p>
          <w:p w:rsidR="00315E0E" w:rsidRPr="00F079DB" w:rsidRDefault="00315E0E" w:rsidP="00315E0E">
            <w:pPr>
              <w:numPr>
                <w:ilvl w:val="0"/>
                <w:numId w:val="7"/>
              </w:numPr>
              <w:ind w:left="245" w:hanging="180"/>
              <w:rPr>
                <w:rFonts w:cstheme="minorHAnsi"/>
                <w:sz w:val="20"/>
                <w:szCs w:val="20"/>
              </w:rPr>
            </w:pPr>
            <w:r w:rsidRPr="00F079DB">
              <w:rPr>
                <w:rFonts w:cstheme="minorHAnsi"/>
                <w:sz w:val="20"/>
                <w:szCs w:val="20"/>
              </w:rPr>
              <w:t>Analyze categorical data.</w:t>
            </w:r>
          </w:p>
          <w:p w:rsidR="00315E0E" w:rsidRPr="00F079DB" w:rsidRDefault="00315E0E" w:rsidP="00315E0E">
            <w:pPr>
              <w:numPr>
                <w:ilvl w:val="0"/>
                <w:numId w:val="7"/>
              </w:numPr>
              <w:ind w:left="245" w:hanging="180"/>
              <w:rPr>
                <w:rFonts w:cstheme="minorHAnsi"/>
                <w:sz w:val="20"/>
                <w:szCs w:val="20"/>
              </w:rPr>
            </w:pPr>
            <w:r w:rsidRPr="00F079DB">
              <w:rPr>
                <w:rFonts w:cstheme="minorHAnsi"/>
                <w:sz w:val="20"/>
                <w:szCs w:val="20"/>
              </w:rPr>
              <w:t>Investigate the normal distribution.</w:t>
            </w:r>
          </w:p>
        </w:tc>
        <w:tc>
          <w:tcPr>
            <w:tcW w:w="1800" w:type="dxa"/>
            <w:vAlign w:val="center"/>
          </w:tcPr>
          <w:p w:rsidR="00315E0E" w:rsidRPr="00B60605" w:rsidRDefault="00315E0E" w:rsidP="00315E0E">
            <w:pPr>
              <w:jc w:val="center"/>
              <w:rPr>
                <w:rFonts w:cstheme="minorHAnsi"/>
                <w:sz w:val="20"/>
                <w:szCs w:val="20"/>
              </w:rPr>
            </w:pPr>
            <w:r>
              <w:rPr>
                <w:rFonts w:cstheme="minorHAnsi"/>
                <w:sz w:val="20"/>
                <w:szCs w:val="20"/>
              </w:rPr>
              <w:t>10%</w:t>
            </w:r>
          </w:p>
        </w:tc>
        <w:tc>
          <w:tcPr>
            <w:tcW w:w="1440" w:type="dxa"/>
            <w:vAlign w:val="center"/>
          </w:tcPr>
          <w:p w:rsidR="00315E0E" w:rsidRDefault="00315E0E" w:rsidP="00315E0E">
            <w:pPr>
              <w:jc w:val="center"/>
              <w:rPr>
                <w:rFonts w:cstheme="minorHAnsi"/>
                <w:sz w:val="20"/>
                <w:szCs w:val="20"/>
              </w:rPr>
            </w:pPr>
            <w:r>
              <w:rPr>
                <w:rFonts w:cstheme="minorHAnsi"/>
                <w:sz w:val="20"/>
                <w:szCs w:val="20"/>
              </w:rPr>
              <w:t>8/31/12</w:t>
            </w:r>
          </w:p>
          <w:p w:rsidR="00315E0E" w:rsidRPr="00B60605" w:rsidRDefault="00315E0E" w:rsidP="00315E0E">
            <w:pPr>
              <w:jc w:val="center"/>
              <w:rPr>
                <w:rFonts w:cstheme="minorHAnsi"/>
                <w:sz w:val="20"/>
                <w:szCs w:val="20"/>
              </w:rPr>
            </w:pPr>
            <w:r>
              <w:rPr>
                <w:rFonts w:cstheme="minorHAnsi"/>
                <w:sz w:val="20"/>
                <w:szCs w:val="20"/>
              </w:rPr>
              <w:t>9/7/12</w:t>
            </w:r>
          </w:p>
        </w:tc>
      </w:tr>
      <w:tr w:rsidR="00315E0E" w:rsidTr="00C27EBC">
        <w:tc>
          <w:tcPr>
            <w:tcW w:w="2005" w:type="dxa"/>
            <w:shd w:val="clear" w:color="auto" w:fill="FFFFFF" w:themeFill="background1"/>
            <w:vAlign w:val="center"/>
          </w:tcPr>
          <w:p w:rsidR="00315E0E" w:rsidRDefault="00315E0E" w:rsidP="00315E0E">
            <w:pPr>
              <w:jc w:val="center"/>
              <w:rPr>
                <w:rFonts w:cstheme="minorHAnsi"/>
                <w:sz w:val="20"/>
                <w:szCs w:val="20"/>
              </w:rPr>
            </w:pPr>
            <w:r>
              <w:rPr>
                <w:rFonts w:cstheme="minorHAnsi"/>
                <w:sz w:val="20"/>
                <w:szCs w:val="20"/>
              </w:rPr>
              <w:t>Part II</w:t>
            </w:r>
          </w:p>
          <w:p w:rsidR="00315E0E" w:rsidRPr="00B60605" w:rsidRDefault="00315E0E" w:rsidP="00315E0E">
            <w:pPr>
              <w:jc w:val="center"/>
              <w:rPr>
                <w:rFonts w:cstheme="minorHAnsi"/>
                <w:sz w:val="20"/>
                <w:szCs w:val="20"/>
              </w:rPr>
            </w:pPr>
            <w:r>
              <w:rPr>
                <w:rFonts w:cstheme="minorHAnsi"/>
                <w:sz w:val="20"/>
                <w:szCs w:val="20"/>
              </w:rPr>
              <w:t>Exploring Relationships Between Variables</w:t>
            </w:r>
          </w:p>
        </w:tc>
        <w:tc>
          <w:tcPr>
            <w:tcW w:w="4770" w:type="dxa"/>
          </w:tcPr>
          <w:p w:rsidR="00315E0E" w:rsidRPr="00B60605" w:rsidRDefault="00315E0E" w:rsidP="00C27EBC">
            <w:pPr>
              <w:numPr>
                <w:ilvl w:val="0"/>
                <w:numId w:val="7"/>
              </w:numPr>
              <w:ind w:left="245" w:hanging="180"/>
              <w:rPr>
                <w:rFonts w:cstheme="minorHAnsi"/>
                <w:sz w:val="20"/>
                <w:szCs w:val="20"/>
              </w:rPr>
            </w:pPr>
            <w:r>
              <w:rPr>
                <w:rFonts w:cstheme="minorHAnsi"/>
                <w:sz w:val="20"/>
                <w:szCs w:val="20"/>
              </w:rPr>
              <w:t>Analyze bivariate data through correlation, least squares regression and residual plots.</w:t>
            </w:r>
          </w:p>
        </w:tc>
        <w:tc>
          <w:tcPr>
            <w:tcW w:w="1800" w:type="dxa"/>
            <w:vAlign w:val="center"/>
          </w:tcPr>
          <w:p w:rsidR="00315E0E" w:rsidRPr="00B60605" w:rsidRDefault="00315E0E" w:rsidP="00315E0E">
            <w:pPr>
              <w:jc w:val="center"/>
              <w:rPr>
                <w:rFonts w:cstheme="minorHAnsi"/>
                <w:sz w:val="20"/>
                <w:szCs w:val="20"/>
              </w:rPr>
            </w:pPr>
            <w:r>
              <w:rPr>
                <w:rFonts w:cstheme="minorHAnsi"/>
                <w:sz w:val="20"/>
                <w:szCs w:val="20"/>
              </w:rPr>
              <w:t>10%</w:t>
            </w:r>
          </w:p>
        </w:tc>
        <w:tc>
          <w:tcPr>
            <w:tcW w:w="1440" w:type="dxa"/>
            <w:vAlign w:val="center"/>
          </w:tcPr>
          <w:p w:rsidR="00315E0E" w:rsidRDefault="00315E0E" w:rsidP="00315E0E">
            <w:pPr>
              <w:jc w:val="center"/>
              <w:rPr>
                <w:rFonts w:cstheme="minorHAnsi"/>
                <w:sz w:val="20"/>
                <w:szCs w:val="20"/>
              </w:rPr>
            </w:pPr>
            <w:r>
              <w:rPr>
                <w:rFonts w:cstheme="minorHAnsi"/>
                <w:sz w:val="20"/>
                <w:szCs w:val="20"/>
              </w:rPr>
              <w:t>8/14/12</w:t>
            </w:r>
          </w:p>
          <w:p w:rsidR="00315E0E" w:rsidRPr="00B60605" w:rsidRDefault="00315E0E" w:rsidP="00315E0E">
            <w:pPr>
              <w:jc w:val="center"/>
              <w:rPr>
                <w:rFonts w:cstheme="minorHAnsi"/>
                <w:sz w:val="20"/>
                <w:szCs w:val="20"/>
              </w:rPr>
            </w:pPr>
            <w:r>
              <w:rPr>
                <w:rFonts w:cstheme="minorHAnsi"/>
                <w:sz w:val="20"/>
                <w:szCs w:val="20"/>
              </w:rPr>
              <w:t>10/4/12</w:t>
            </w:r>
          </w:p>
        </w:tc>
      </w:tr>
      <w:tr w:rsidR="00315E0E" w:rsidTr="00F079DB">
        <w:tc>
          <w:tcPr>
            <w:tcW w:w="2005" w:type="dxa"/>
            <w:shd w:val="clear" w:color="auto" w:fill="FFFFFF" w:themeFill="background1"/>
            <w:vAlign w:val="center"/>
          </w:tcPr>
          <w:p w:rsidR="00315E0E" w:rsidRDefault="00315E0E" w:rsidP="00315E0E">
            <w:pPr>
              <w:jc w:val="center"/>
              <w:rPr>
                <w:rFonts w:cstheme="minorHAnsi"/>
                <w:sz w:val="20"/>
                <w:szCs w:val="20"/>
              </w:rPr>
            </w:pPr>
            <w:r>
              <w:rPr>
                <w:rFonts w:cstheme="minorHAnsi"/>
                <w:sz w:val="20"/>
                <w:szCs w:val="20"/>
              </w:rPr>
              <w:t>Part III</w:t>
            </w:r>
          </w:p>
          <w:p w:rsidR="00315E0E" w:rsidRPr="00B60605" w:rsidRDefault="00315E0E" w:rsidP="00315E0E">
            <w:pPr>
              <w:jc w:val="center"/>
              <w:rPr>
                <w:rFonts w:cstheme="minorHAnsi"/>
                <w:sz w:val="20"/>
                <w:szCs w:val="20"/>
              </w:rPr>
            </w:pPr>
            <w:r>
              <w:rPr>
                <w:rFonts w:cstheme="minorHAnsi"/>
                <w:sz w:val="20"/>
                <w:szCs w:val="20"/>
              </w:rPr>
              <w:t>Gathering Data</w:t>
            </w:r>
          </w:p>
        </w:tc>
        <w:tc>
          <w:tcPr>
            <w:tcW w:w="4770" w:type="dxa"/>
            <w:vAlign w:val="center"/>
          </w:tcPr>
          <w:p w:rsidR="00315E0E" w:rsidRDefault="00315E0E" w:rsidP="00315E0E">
            <w:pPr>
              <w:numPr>
                <w:ilvl w:val="0"/>
                <w:numId w:val="7"/>
              </w:numPr>
              <w:ind w:left="245" w:hanging="180"/>
              <w:rPr>
                <w:rFonts w:cstheme="minorHAnsi"/>
                <w:sz w:val="20"/>
                <w:szCs w:val="20"/>
              </w:rPr>
            </w:pPr>
            <w:r>
              <w:rPr>
                <w:rFonts w:cstheme="minorHAnsi"/>
                <w:sz w:val="20"/>
                <w:szCs w:val="20"/>
              </w:rPr>
              <w:t>Understand methods of data collection.</w:t>
            </w:r>
          </w:p>
          <w:p w:rsidR="00315E0E" w:rsidRDefault="00315E0E" w:rsidP="00315E0E">
            <w:pPr>
              <w:numPr>
                <w:ilvl w:val="0"/>
                <w:numId w:val="7"/>
              </w:numPr>
              <w:ind w:left="245" w:hanging="180"/>
              <w:rPr>
                <w:rFonts w:cstheme="minorHAnsi"/>
                <w:sz w:val="20"/>
                <w:szCs w:val="20"/>
              </w:rPr>
            </w:pPr>
            <w:r>
              <w:rPr>
                <w:rFonts w:cstheme="minorHAnsi"/>
                <w:sz w:val="20"/>
                <w:szCs w:val="20"/>
              </w:rPr>
              <w:t>Plan how to conduct a survey</w:t>
            </w:r>
          </w:p>
          <w:p w:rsidR="00315E0E" w:rsidRDefault="00315E0E" w:rsidP="00315E0E">
            <w:pPr>
              <w:numPr>
                <w:ilvl w:val="0"/>
                <w:numId w:val="7"/>
              </w:numPr>
              <w:ind w:left="245" w:hanging="180"/>
              <w:rPr>
                <w:rFonts w:cstheme="minorHAnsi"/>
                <w:sz w:val="20"/>
                <w:szCs w:val="20"/>
              </w:rPr>
            </w:pPr>
            <w:r>
              <w:rPr>
                <w:rFonts w:cstheme="minorHAnsi"/>
                <w:sz w:val="20"/>
                <w:szCs w:val="20"/>
              </w:rPr>
              <w:t>Plan how to conduct an experiment.</w:t>
            </w:r>
          </w:p>
          <w:p w:rsidR="00315E0E" w:rsidRPr="00B60605" w:rsidRDefault="00315E0E" w:rsidP="00315E0E">
            <w:pPr>
              <w:numPr>
                <w:ilvl w:val="0"/>
                <w:numId w:val="7"/>
              </w:numPr>
              <w:ind w:left="245" w:hanging="180"/>
              <w:rPr>
                <w:rFonts w:cstheme="minorHAnsi"/>
                <w:sz w:val="20"/>
                <w:szCs w:val="20"/>
              </w:rPr>
            </w:pPr>
            <w:r>
              <w:rPr>
                <w:rFonts w:cstheme="minorHAnsi"/>
                <w:sz w:val="20"/>
                <w:szCs w:val="20"/>
              </w:rPr>
              <w:t>Generalize results and draw conclusions.</w:t>
            </w:r>
          </w:p>
        </w:tc>
        <w:tc>
          <w:tcPr>
            <w:tcW w:w="1800" w:type="dxa"/>
            <w:vAlign w:val="center"/>
          </w:tcPr>
          <w:p w:rsidR="00315E0E" w:rsidRPr="00B60605" w:rsidRDefault="00315E0E" w:rsidP="00315E0E">
            <w:pPr>
              <w:jc w:val="center"/>
              <w:rPr>
                <w:rFonts w:cstheme="minorHAnsi"/>
                <w:sz w:val="20"/>
                <w:szCs w:val="20"/>
              </w:rPr>
            </w:pPr>
            <w:r>
              <w:rPr>
                <w:rFonts w:cstheme="minorHAnsi"/>
                <w:sz w:val="20"/>
                <w:szCs w:val="20"/>
              </w:rPr>
              <w:t>20%</w:t>
            </w:r>
          </w:p>
        </w:tc>
        <w:tc>
          <w:tcPr>
            <w:tcW w:w="1440" w:type="dxa"/>
            <w:vAlign w:val="center"/>
          </w:tcPr>
          <w:p w:rsidR="00315E0E" w:rsidRPr="00B60605" w:rsidRDefault="00315E0E" w:rsidP="00315E0E">
            <w:pPr>
              <w:jc w:val="center"/>
              <w:rPr>
                <w:rFonts w:cstheme="minorHAnsi"/>
                <w:sz w:val="20"/>
                <w:szCs w:val="20"/>
              </w:rPr>
            </w:pPr>
            <w:r>
              <w:rPr>
                <w:rFonts w:cstheme="minorHAnsi"/>
                <w:sz w:val="20"/>
                <w:szCs w:val="20"/>
              </w:rPr>
              <w:t>11/9/12</w:t>
            </w:r>
          </w:p>
        </w:tc>
      </w:tr>
      <w:tr w:rsidR="00315E0E" w:rsidTr="00F079DB">
        <w:tc>
          <w:tcPr>
            <w:tcW w:w="2005" w:type="dxa"/>
            <w:shd w:val="clear" w:color="auto" w:fill="FFFFFF" w:themeFill="background1"/>
            <w:vAlign w:val="center"/>
          </w:tcPr>
          <w:p w:rsidR="00315E0E" w:rsidRDefault="00315E0E" w:rsidP="00315E0E">
            <w:pPr>
              <w:jc w:val="center"/>
              <w:rPr>
                <w:rFonts w:cstheme="minorHAnsi"/>
                <w:sz w:val="20"/>
                <w:szCs w:val="20"/>
              </w:rPr>
            </w:pPr>
            <w:r>
              <w:rPr>
                <w:rFonts w:cstheme="minorHAnsi"/>
                <w:sz w:val="20"/>
                <w:szCs w:val="20"/>
              </w:rPr>
              <w:t>Part IV</w:t>
            </w:r>
          </w:p>
          <w:p w:rsidR="00315E0E" w:rsidRPr="00B60605" w:rsidRDefault="00315E0E" w:rsidP="00315E0E">
            <w:pPr>
              <w:jc w:val="center"/>
              <w:rPr>
                <w:rFonts w:cstheme="minorHAnsi"/>
                <w:sz w:val="20"/>
                <w:szCs w:val="20"/>
              </w:rPr>
            </w:pPr>
            <w:r>
              <w:rPr>
                <w:rFonts w:cstheme="minorHAnsi"/>
                <w:sz w:val="20"/>
                <w:szCs w:val="20"/>
              </w:rPr>
              <w:t>Randomness and Probability</w:t>
            </w:r>
          </w:p>
        </w:tc>
        <w:tc>
          <w:tcPr>
            <w:tcW w:w="4770" w:type="dxa"/>
            <w:vAlign w:val="center"/>
          </w:tcPr>
          <w:p w:rsidR="00315E0E" w:rsidRDefault="00315E0E" w:rsidP="00315E0E">
            <w:pPr>
              <w:numPr>
                <w:ilvl w:val="0"/>
                <w:numId w:val="7"/>
              </w:numPr>
              <w:ind w:left="245" w:hanging="180"/>
              <w:rPr>
                <w:rFonts w:cstheme="minorHAnsi"/>
                <w:sz w:val="20"/>
                <w:szCs w:val="20"/>
              </w:rPr>
            </w:pPr>
            <w:r>
              <w:rPr>
                <w:rFonts w:cstheme="minorHAnsi"/>
                <w:sz w:val="20"/>
                <w:szCs w:val="20"/>
              </w:rPr>
              <w:t>Explore random phenomena using probability and simulation.</w:t>
            </w:r>
          </w:p>
          <w:p w:rsidR="00315E0E" w:rsidRPr="00B60605" w:rsidRDefault="00315E0E" w:rsidP="00315E0E">
            <w:pPr>
              <w:numPr>
                <w:ilvl w:val="0"/>
                <w:numId w:val="7"/>
              </w:numPr>
              <w:ind w:left="245" w:hanging="180"/>
              <w:rPr>
                <w:rFonts w:cstheme="minorHAnsi"/>
                <w:sz w:val="20"/>
                <w:szCs w:val="20"/>
              </w:rPr>
            </w:pPr>
            <w:r>
              <w:rPr>
                <w:rFonts w:cstheme="minorHAnsi"/>
                <w:sz w:val="20"/>
                <w:szCs w:val="20"/>
              </w:rPr>
              <w:t>Combine independent random variables.</w:t>
            </w:r>
          </w:p>
        </w:tc>
        <w:tc>
          <w:tcPr>
            <w:tcW w:w="1800" w:type="dxa"/>
            <w:vAlign w:val="center"/>
          </w:tcPr>
          <w:p w:rsidR="00315E0E" w:rsidRPr="00B60605" w:rsidRDefault="00315E0E" w:rsidP="00315E0E">
            <w:pPr>
              <w:jc w:val="center"/>
              <w:rPr>
                <w:rFonts w:cstheme="minorHAnsi"/>
                <w:sz w:val="20"/>
                <w:szCs w:val="20"/>
              </w:rPr>
            </w:pPr>
            <w:r>
              <w:rPr>
                <w:rFonts w:cstheme="minorHAnsi"/>
                <w:sz w:val="20"/>
                <w:szCs w:val="20"/>
              </w:rPr>
              <w:t>15%</w:t>
            </w:r>
          </w:p>
        </w:tc>
        <w:tc>
          <w:tcPr>
            <w:tcW w:w="1440" w:type="dxa"/>
            <w:vAlign w:val="center"/>
          </w:tcPr>
          <w:p w:rsidR="00315E0E" w:rsidRPr="00B60605" w:rsidRDefault="00315E0E" w:rsidP="00315E0E">
            <w:pPr>
              <w:jc w:val="center"/>
              <w:rPr>
                <w:rFonts w:cstheme="minorHAnsi"/>
                <w:sz w:val="20"/>
                <w:szCs w:val="20"/>
              </w:rPr>
            </w:pPr>
            <w:r>
              <w:rPr>
                <w:rFonts w:cstheme="minorHAnsi"/>
                <w:sz w:val="20"/>
                <w:szCs w:val="20"/>
              </w:rPr>
              <w:t>12/7/12</w:t>
            </w:r>
          </w:p>
        </w:tc>
      </w:tr>
      <w:tr w:rsidR="00315E0E" w:rsidTr="00F079DB">
        <w:tc>
          <w:tcPr>
            <w:tcW w:w="2005" w:type="dxa"/>
            <w:shd w:val="clear" w:color="auto" w:fill="FFFFFF" w:themeFill="background1"/>
            <w:vAlign w:val="center"/>
          </w:tcPr>
          <w:p w:rsidR="00315E0E" w:rsidRDefault="00315E0E" w:rsidP="00315E0E">
            <w:pPr>
              <w:jc w:val="center"/>
              <w:rPr>
                <w:rFonts w:cstheme="minorHAnsi"/>
                <w:sz w:val="20"/>
                <w:szCs w:val="20"/>
              </w:rPr>
            </w:pPr>
            <w:r>
              <w:rPr>
                <w:rFonts w:cstheme="minorHAnsi"/>
                <w:sz w:val="20"/>
                <w:szCs w:val="20"/>
              </w:rPr>
              <w:t>Part V</w:t>
            </w:r>
          </w:p>
          <w:p w:rsidR="00315E0E" w:rsidRPr="00B60605" w:rsidRDefault="00315E0E" w:rsidP="00315E0E">
            <w:pPr>
              <w:jc w:val="center"/>
              <w:rPr>
                <w:rFonts w:cstheme="minorHAnsi"/>
                <w:sz w:val="20"/>
                <w:szCs w:val="20"/>
              </w:rPr>
            </w:pPr>
            <w:r>
              <w:rPr>
                <w:rFonts w:cstheme="minorHAnsi"/>
                <w:sz w:val="20"/>
                <w:szCs w:val="20"/>
              </w:rPr>
              <w:t>From the Data at Hand to the World at Large</w:t>
            </w:r>
          </w:p>
        </w:tc>
        <w:tc>
          <w:tcPr>
            <w:tcW w:w="4770" w:type="dxa"/>
            <w:vAlign w:val="center"/>
          </w:tcPr>
          <w:p w:rsidR="00315E0E" w:rsidRDefault="00315E0E" w:rsidP="00315E0E">
            <w:pPr>
              <w:numPr>
                <w:ilvl w:val="0"/>
                <w:numId w:val="7"/>
              </w:numPr>
              <w:ind w:left="245" w:hanging="180"/>
              <w:rPr>
                <w:rFonts w:cstheme="minorHAnsi"/>
                <w:sz w:val="20"/>
                <w:szCs w:val="20"/>
              </w:rPr>
            </w:pPr>
            <w:r>
              <w:rPr>
                <w:rFonts w:cstheme="minorHAnsi"/>
                <w:sz w:val="20"/>
                <w:szCs w:val="20"/>
              </w:rPr>
              <w:t>Investigate sampling distributions.</w:t>
            </w:r>
          </w:p>
          <w:p w:rsidR="00315E0E" w:rsidRDefault="00315E0E" w:rsidP="00315E0E">
            <w:pPr>
              <w:numPr>
                <w:ilvl w:val="0"/>
                <w:numId w:val="7"/>
              </w:numPr>
              <w:ind w:left="245" w:hanging="180"/>
              <w:rPr>
                <w:rFonts w:cstheme="minorHAnsi"/>
                <w:sz w:val="20"/>
                <w:szCs w:val="20"/>
              </w:rPr>
            </w:pPr>
            <w:r>
              <w:rPr>
                <w:rFonts w:cstheme="minorHAnsi"/>
                <w:sz w:val="20"/>
                <w:szCs w:val="20"/>
              </w:rPr>
              <w:t>Estimate population parameters and apply inference.</w:t>
            </w:r>
          </w:p>
          <w:p w:rsidR="00315E0E" w:rsidRPr="00B60605" w:rsidRDefault="00315E0E" w:rsidP="00315E0E">
            <w:pPr>
              <w:numPr>
                <w:ilvl w:val="0"/>
                <w:numId w:val="7"/>
              </w:numPr>
              <w:ind w:left="245" w:hanging="180"/>
              <w:rPr>
                <w:rFonts w:cstheme="minorHAnsi"/>
                <w:sz w:val="20"/>
                <w:szCs w:val="20"/>
              </w:rPr>
            </w:pPr>
            <w:r>
              <w:rPr>
                <w:rFonts w:cstheme="minorHAnsi"/>
                <w:sz w:val="20"/>
                <w:szCs w:val="20"/>
              </w:rPr>
              <w:t>Apply tests of significance.</w:t>
            </w:r>
          </w:p>
        </w:tc>
        <w:tc>
          <w:tcPr>
            <w:tcW w:w="1800" w:type="dxa"/>
            <w:vAlign w:val="center"/>
          </w:tcPr>
          <w:p w:rsidR="00315E0E" w:rsidRPr="00B60605" w:rsidRDefault="00315E0E" w:rsidP="00315E0E">
            <w:pPr>
              <w:jc w:val="center"/>
              <w:rPr>
                <w:rFonts w:cstheme="minorHAnsi"/>
                <w:sz w:val="20"/>
                <w:szCs w:val="20"/>
              </w:rPr>
            </w:pPr>
            <w:r>
              <w:rPr>
                <w:rFonts w:cstheme="minorHAnsi"/>
                <w:sz w:val="20"/>
                <w:szCs w:val="20"/>
              </w:rPr>
              <w:t>15%</w:t>
            </w:r>
          </w:p>
        </w:tc>
        <w:tc>
          <w:tcPr>
            <w:tcW w:w="1440" w:type="dxa"/>
            <w:vAlign w:val="center"/>
          </w:tcPr>
          <w:p w:rsidR="00315E0E" w:rsidRPr="00B60605" w:rsidRDefault="00315E0E" w:rsidP="00315E0E">
            <w:pPr>
              <w:jc w:val="center"/>
              <w:rPr>
                <w:rFonts w:cstheme="minorHAnsi"/>
                <w:sz w:val="20"/>
                <w:szCs w:val="20"/>
              </w:rPr>
            </w:pPr>
            <w:r>
              <w:rPr>
                <w:rFonts w:cstheme="minorHAnsi"/>
                <w:sz w:val="20"/>
                <w:szCs w:val="20"/>
              </w:rPr>
              <w:t>2/1/13</w:t>
            </w:r>
          </w:p>
        </w:tc>
      </w:tr>
      <w:tr w:rsidR="00315E0E" w:rsidTr="00F079DB">
        <w:tc>
          <w:tcPr>
            <w:tcW w:w="2005" w:type="dxa"/>
            <w:shd w:val="clear" w:color="auto" w:fill="FFFFFF" w:themeFill="background1"/>
            <w:vAlign w:val="center"/>
          </w:tcPr>
          <w:p w:rsidR="00315E0E" w:rsidRDefault="00315E0E" w:rsidP="00315E0E">
            <w:pPr>
              <w:jc w:val="center"/>
              <w:rPr>
                <w:rFonts w:cstheme="minorHAnsi"/>
                <w:sz w:val="20"/>
                <w:szCs w:val="20"/>
              </w:rPr>
            </w:pPr>
            <w:r>
              <w:rPr>
                <w:rFonts w:cstheme="minorHAnsi"/>
                <w:sz w:val="20"/>
                <w:szCs w:val="20"/>
              </w:rPr>
              <w:t>Part VI</w:t>
            </w:r>
          </w:p>
          <w:p w:rsidR="00315E0E" w:rsidRPr="00B60605" w:rsidRDefault="00315E0E" w:rsidP="00315E0E">
            <w:pPr>
              <w:jc w:val="center"/>
              <w:rPr>
                <w:rFonts w:cstheme="minorHAnsi"/>
                <w:sz w:val="20"/>
                <w:szCs w:val="20"/>
              </w:rPr>
            </w:pPr>
            <w:r>
              <w:rPr>
                <w:rFonts w:cstheme="minorHAnsi"/>
                <w:sz w:val="20"/>
                <w:szCs w:val="20"/>
              </w:rPr>
              <w:t>Learning About the World</w:t>
            </w:r>
          </w:p>
        </w:tc>
        <w:tc>
          <w:tcPr>
            <w:tcW w:w="4770" w:type="dxa"/>
            <w:vAlign w:val="center"/>
          </w:tcPr>
          <w:p w:rsidR="00315E0E" w:rsidRDefault="00315E0E" w:rsidP="00315E0E">
            <w:pPr>
              <w:numPr>
                <w:ilvl w:val="0"/>
                <w:numId w:val="7"/>
              </w:numPr>
              <w:ind w:left="245" w:hanging="180"/>
              <w:rPr>
                <w:rFonts w:cstheme="minorHAnsi"/>
                <w:sz w:val="20"/>
                <w:szCs w:val="20"/>
              </w:rPr>
            </w:pPr>
            <w:r>
              <w:rPr>
                <w:rFonts w:cstheme="minorHAnsi"/>
                <w:sz w:val="20"/>
                <w:szCs w:val="20"/>
              </w:rPr>
              <w:t>Estimate population parameters and apply statistical inference.</w:t>
            </w:r>
          </w:p>
          <w:p w:rsidR="00315E0E" w:rsidRPr="00B60605" w:rsidRDefault="00315E0E" w:rsidP="00315E0E">
            <w:pPr>
              <w:numPr>
                <w:ilvl w:val="0"/>
                <w:numId w:val="7"/>
              </w:numPr>
              <w:ind w:left="245" w:hanging="180"/>
              <w:rPr>
                <w:rFonts w:cstheme="minorHAnsi"/>
                <w:sz w:val="20"/>
                <w:szCs w:val="20"/>
              </w:rPr>
            </w:pPr>
            <w:r>
              <w:rPr>
                <w:rFonts w:cstheme="minorHAnsi"/>
                <w:sz w:val="20"/>
                <w:szCs w:val="20"/>
              </w:rPr>
              <w:t>Apply tests of significance.</w:t>
            </w:r>
          </w:p>
        </w:tc>
        <w:tc>
          <w:tcPr>
            <w:tcW w:w="1800" w:type="dxa"/>
            <w:vAlign w:val="center"/>
          </w:tcPr>
          <w:p w:rsidR="00315E0E" w:rsidRPr="00B60605" w:rsidRDefault="00315E0E" w:rsidP="00315E0E">
            <w:pPr>
              <w:jc w:val="center"/>
              <w:rPr>
                <w:rFonts w:cstheme="minorHAnsi"/>
                <w:sz w:val="20"/>
                <w:szCs w:val="20"/>
              </w:rPr>
            </w:pPr>
            <w:r>
              <w:rPr>
                <w:rFonts w:cstheme="minorHAnsi"/>
                <w:sz w:val="20"/>
                <w:szCs w:val="20"/>
              </w:rPr>
              <w:t>15%</w:t>
            </w:r>
          </w:p>
        </w:tc>
        <w:tc>
          <w:tcPr>
            <w:tcW w:w="1440" w:type="dxa"/>
            <w:vAlign w:val="center"/>
          </w:tcPr>
          <w:p w:rsidR="00315E0E" w:rsidRPr="00B60605" w:rsidRDefault="00315E0E" w:rsidP="00315E0E">
            <w:pPr>
              <w:jc w:val="center"/>
              <w:rPr>
                <w:rFonts w:cstheme="minorHAnsi"/>
                <w:sz w:val="20"/>
                <w:szCs w:val="20"/>
              </w:rPr>
            </w:pPr>
            <w:r>
              <w:rPr>
                <w:rFonts w:cstheme="minorHAnsi"/>
                <w:sz w:val="20"/>
                <w:szCs w:val="20"/>
              </w:rPr>
              <w:t>3/1/13</w:t>
            </w:r>
          </w:p>
        </w:tc>
      </w:tr>
      <w:tr w:rsidR="00315E0E" w:rsidTr="00F079DB">
        <w:tc>
          <w:tcPr>
            <w:tcW w:w="2005" w:type="dxa"/>
            <w:shd w:val="clear" w:color="auto" w:fill="FFFFFF" w:themeFill="background1"/>
            <w:vAlign w:val="center"/>
          </w:tcPr>
          <w:p w:rsidR="00315E0E" w:rsidRDefault="00315E0E" w:rsidP="00315E0E">
            <w:pPr>
              <w:jc w:val="center"/>
              <w:rPr>
                <w:rFonts w:cstheme="minorHAnsi"/>
                <w:sz w:val="20"/>
                <w:szCs w:val="20"/>
              </w:rPr>
            </w:pPr>
            <w:r>
              <w:rPr>
                <w:rFonts w:cstheme="minorHAnsi"/>
                <w:sz w:val="20"/>
                <w:szCs w:val="20"/>
              </w:rPr>
              <w:t>Part VII</w:t>
            </w:r>
          </w:p>
          <w:p w:rsidR="00315E0E" w:rsidRPr="00B60605" w:rsidRDefault="00315E0E" w:rsidP="00315E0E">
            <w:pPr>
              <w:jc w:val="center"/>
              <w:rPr>
                <w:rFonts w:cstheme="minorHAnsi"/>
                <w:sz w:val="20"/>
                <w:szCs w:val="20"/>
              </w:rPr>
            </w:pPr>
            <w:r>
              <w:rPr>
                <w:rFonts w:cstheme="minorHAnsi"/>
                <w:sz w:val="20"/>
                <w:szCs w:val="20"/>
              </w:rPr>
              <w:t>Inference When Variables Are Related</w:t>
            </w:r>
          </w:p>
        </w:tc>
        <w:tc>
          <w:tcPr>
            <w:tcW w:w="4770" w:type="dxa"/>
            <w:vAlign w:val="center"/>
          </w:tcPr>
          <w:p w:rsidR="00315E0E" w:rsidRDefault="00315E0E" w:rsidP="00315E0E">
            <w:pPr>
              <w:numPr>
                <w:ilvl w:val="0"/>
                <w:numId w:val="7"/>
              </w:numPr>
              <w:ind w:left="245" w:hanging="180"/>
              <w:rPr>
                <w:rFonts w:cstheme="minorHAnsi"/>
                <w:sz w:val="20"/>
                <w:szCs w:val="20"/>
              </w:rPr>
            </w:pPr>
            <w:r>
              <w:rPr>
                <w:rFonts w:cstheme="minorHAnsi"/>
                <w:sz w:val="20"/>
                <w:szCs w:val="20"/>
              </w:rPr>
              <w:t>Estimate population parameters and apply statistical inference.</w:t>
            </w:r>
          </w:p>
          <w:p w:rsidR="00315E0E" w:rsidRDefault="00315E0E" w:rsidP="00315E0E">
            <w:pPr>
              <w:numPr>
                <w:ilvl w:val="0"/>
                <w:numId w:val="7"/>
              </w:numPr>
              <w:ind w:left="245" w:hanging="180"/>
              <w:rPr>
                <w:rFonts w:cstheme="minorHAnsi"/>
                <w:sz w:val="20"/>
                <w:szCs w:val="20"/>
              </w:rPr>
            </w:pPr>
            <w:r>
              <w:rPr>
                <w:rFonts w:cstheme="minorHAnsi"/>
                <w:sz w:val="20"/>
                <w:szCs w:val="20"/>
              </w:rPr>
              <w:t>Estimate population parameters.</w:t>
            </w:r>
          </w:p>
          <w:p w:rsidR="00315E0E" w:rsidRPr="00B60605" w:rsidRDefault="00315E0E" w:rsidP="00315E0E">
            <w:pPr>
              <w:numPr>
                <w:ilvl w:val="0"/>
                <w:numId w:val="7"/>
              </w:numPr>
              <w:ind w:left="245" w:hanging="180"/>
              <w:rPr>
                <w:rFonts w:cstheme="minorHAnsi"/>
                <w:sz w:val="20"/>
                <w:szCs w:val="20"/>
              </w:rPr>
            </w:pPr>
            <w:r>
              <w:rPr>
                <w:rFonts w:cstheme="minorHAnsi"/>
                <w:sz w:val="20"/>
                <w:szCs w:val="20"/>
              </w:rPr>
              <w:t>Apply tests of logic.</w:t>
            </w:r>
          </w:p>
        </w:tc>
        <w:tc>
          <w:tcPr>
            <w:tcW w:w="1800" w:type="dxa"/>
            <w:vAlign w:val="center"/>
          </w:tcPr>
          <w:p w:rsidR="00315E0E" w:rsidRPr="00B60605" w:rsidRDefault="00315E0E" w:rsidP="00315E0E">
            <w:pPr>
              <w:jc w:val="center"/>
              <w:rPr>
                <w:rFonts w:cstheme="minorHAnsi"/>
                <w:sz w:val="20"/>
                <w:szCs w:val="20"/>
              </w:rPr>
            </w:pPr>
            <w:r>
              <w:rPr>
                <w:rFonts w:cstheme="minorHAnsi"/>
                <w:sz w:val="20"/>
                <w:szCs w:val="20"/>
              </w:rPr>
              <w:t>15%</w:t>
            </w:r>
          </w:p>
        </w:tc>
        <w:tc>
          <w:tcPr>
            <w:tcW w:w="1440" w:type="dxa"/>
            <w:vAlign w:val="center"/>
          </w:tcPr>
          <w:p w:rsidR="00315E0E" w:rsidRDefault="00315E0E" w:rsidP="00315E0E">
            <w:pPr>
              <w:jc w:val="center"/>
              <w:rPr>
                <w:rFonts w:cstheme="minorHAnsi"/>
                <w:sz w:val="20"/>
                <w:szCs w:val="20"/>
              </w:rPr>
            </w:pPr>
            <w:r>
              <w:rPr>
                <w:rFonts w:cstheme="minorHAnsi"/>
                <w:sz w:val="20"/>
                <w:szCs w:val="20"/>
              </w:rPr>
              <w:t>3/15/13</w:t>
            </w:r>
          </w:p>
          <w:p w:rsidR="00315E0E" w:rsidRPr="00B60605" w:rsidRDefault="00315E0E" w:rsidP="00315E0E">
            <w:pPr>
              <w:jc w:val="center"/>
              <w:rPr>
                <w:rFonts w:cstheme="minorHAnsi"/>
                <w:sz w:val="20"/>
                <w:szCs w:val="20"/>
              </w:rPr>
            </w:pPr>
            <w:r>
              <w:rPr>
                <w:rFonts w:cstheme="minorHAnsi"/>
                <w:sz w:val="20"/>
                <w:szCs w:val="20"/>
              </w:rPr>
              <w:t>4/5/13</w:t>
            </w:r>
          </w:p>
        </w:tc>
      </w:tr>
    </w:tbl>
    <w:p w:rsidR="00334458" w:rsidRPr="004979C3" w:rsidRDefault="00334458">
      <w:pPr>
        <w:rPr>
          <w:sz w:val="16"/>
        </w:rPr>
      </w:pPr>
    </w:p>
    <w:tbl>
      <w:tblPr>
        <w:tblStyle w:val="TableGrid"/>
        <w:tblW w:w="0" w:type="auto"/>
        <w:tblLayout w:type="fixed"/>
        <w:tblLook w:val="04A0" w:firstRow="1" w:lastRow="0" w:firstColumn="1" w:lastColumn="0" w:noHBand="0" w:noVBand="1"/>
      </w:tblPr>
      <w:tblGrid>
        <w:gridCol w:w="378"/>
        <w:gridCol w:w="1437"/>
        <w:gridCol w:w="3963"/>
        <w:gridCol w:w="1083"/>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AB38C3">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963" w:type="dxa"/>
            <w:shd w:val="clear" w:color="auto" w:fill="D9D9D9" w:themeFill="background1" w:themeFillShade="D9"/>
          </w:tcPr>
          <w:p w:rsidR="00AB38C3" w:rsidRPr="00B60605" w:rsidRDefault="00AB38C3" w:rsidP="00AB38C3">
            <w:pPr>
              <w:rPr>
                <w:b/>
                <w:sz w:val="20"/>
                <w:szCs w:val="20"/>
              </w:rPr>
            </w:pPr>
            <w:r>
              <w:rPr>
                <w:b/>
                <w:sz w:val="20"/>
                <w:szCs w:val="20"/>
              </w:rPr>
              <w:t xml:space="preserve">Multiple Choice </w:t>
            </w:r>
            <w:r w:rsidR="00EE3DC4">
              <w:rPr>
                <w:b/>
                <w:sz w:val="20"/>
                <w:szCs w:val="20"/>
              </w:rPr>
              <w:t xml:space="preserve">Summative Assessments </w:t>
            </w:r>
          </w:p>
        </w:tc>
        <w:tc>
          <w:tcPr>
            <w:tcW w:w="1080" w:type="dxa"/>
          </w:tcPr>
          <w:p w:rsidR="00EE3DC4" w:rsidRPr="00B60605" w:rsidRDefault="00AB38C3" w:rsidP="00334458">
            <w:pPr>
              <w:jc w:val="center"/>
              <w:rPr>
                <w:rFonts w:cstheme="minorHAnsi"/>
                <w:b/>
                <w:sz w:val="20"/>
                <w:szCs w:val="20"/>
              </w:rPr>
            </w:pPr>
            <w:r>
              <w:rPr>
                <w:rFonts w:cstheme="minorHAnsi"/>
                <w:b/>
                <w:sz w:val="20"/>
                <w:szCs w:val="20"/>
              </w:rPr>
              <w:t>45</w:t>
            </w:r>
            <w:r w:rsidR="00643CBF">
              <w:rPr>
                <w:rFonts w:cstheme="minorHAnsi"/>
                <w:b/>
                <w:sz w:val="20"/>
                <w:szCs w:val="20"/>
              </w:rPr>
              <w:t>%</w:t>
            </w:r>
          </w:p>
        </w:tc>
      </w:tr>
      <w:tr w:rsidR="00EE3DC4" w:rsidTr="00AB38C3">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963" w:type="dxa"/>
            <w:shd w:val="clear" w:color="auto" w:fill="D9D9D9" w:themeFill="background1" w:themeFillShade="D9"/>
          </w:tcPr>
          <w:p w:rsidR="00EE3DC4" w:rsidRPr="00B60605" w:rsidRDefault="00AB38C3" w:rsidP="000E2F3A">
            <w:pPr>
              <w:rPr>
                <w:b/>
                <w:sz w:val="20"/>
                <w:szCs w:val="20"/>
              </w:rPr>
            </w:pPr>
            <w:r>
              <w:rPr>
                <w:b/>
                <w:sz w:val="20"/>
                <w:szCs w:val="20"/>
              </w:rPr>
              <w:t>Free Response Summative Assessments</w:t>
            </w:r>
          </w:p>
        </w:tc>
        <w:tc>
          <w:tcPr>
            <w:tcW w:w="1080" w:type="dxa"/>
          </w:tcPr>
          <w:p w:rsidR="00EE3DC4" w:rsidRPr="00B60605" w:rsidRDefault="00AB38C3" w:rsidP="00334458">
            <w:pPr>
              <w:jc w:val="center"/>
              <w:rPr>
                <w:rFonts w:cstheme="minorHAnsi"/>
                <w:b/>
                <w:sz w:val="20"/>
                <w:szCs w:val="20"/>
              </w:rPr>
            </w:pPr>
            <w:r>
              <w:rPr>
                <w:rFonts w:cstheme="minorHAnsi"/>
                <w:b/>
                <w:sz w:val="20"/>
                <w:szCs w:val="20"/>
              </w:rPr>
              <w:t>45%</w:t>
            </w:r>
          </w:p>
        </w:tc>
      </w:tr>
      <w:tr w:rsidR="00AB38C3" w:rsidTr="00AB38C3">
        <w:tc>
          <w:tcPr>
            <w:tcW w:w="378" w:type="dxa"/>
            <w:shd w:val="clear" w:color="auto" w:fill="D9D9D9" w:themeFill="background1" w:themeFillShade="D9"/>
          </w:tcPr>
          <w:p w:rsidR="00AB38C3" w:rsidRPr="00B60605" w:rsidRDefault="00AB38C3" w:rsidP="00B60605">
            <w:pPr>
              <w:rPr>
                <w:b/>
                <w:sz w:val="20"/>
                <w:szCs w:val="20"/>
              </w:rPr>
            </w:pPr>
            <w:r w:rsidRPr="00B60605">
              <w:rPr>
                <w:b/>
                <w:sz w:val="20"/>
                <w:szCs w:val="20"/>
              </w:rPr>
              <w:t>C</w:t>
            </w:r>
          </w:p>
        </w:tc>
        <w:tc>
          <w:tcPr>
            <w:tcW w:w="1437" w:type="dxa"/>
          </w:tcPr>
          <w:p w:rsidR="00AB38C3" w:rsidRPr="00B60605" w:rsidRDefault="00AB38C3" w:rsidP="00D7735A">
            <w:pPr>
              <w:jc w:val="center"/>
              <w:rPr>
                <w:rFonts w:cstheme="minorHAnsi"/>
                <w:sz w:val="20"/>
                <w:szCs w:val="20"/>
              </w:rPr>
            </w:pPr>
            <w:r w:rsidRPr="00B60605">
              <w:rPr>
                <w:rFonts w:cstheme="minorHAnsi"/>
                <w:sz w:val="20"/>
                <w:szCs w:val="20"/>
              </w:rPr>
              <w:t>70-79</w:t>
            </w:r>
          </w:p>
        </w:tc>
        <w:tc>
          <w:tcPr>
            <w:tcW w:w="3960" w:type="dxa"/>
            <w:shd w:val="clear" w:color="auto" w:fill="D9D9D9" w:themeFill="background1" w:themeFillShade="D9"/>
            <w:vAlign w:val="center"/>
          </w:tcPr>
          <w:p w:rsidR="00AB38C3" w:rsidRPr="00B60605" w:rsidRDefault="00AB38C3" w:rsidP="00EE3DC4">
            <w:pPr>
              <w:rPr>
                <w:rFonts w:cstheme="minorHAnsi"/>
                <w:b/>
                <w:sz w:val="20"/>
                <w:szCs w:val="20"/>
              </w:rPr>
            </w:pPr>
            <w:r>
              <w:rPr>
                <w:b/>
                <w:sz w:val="20"/>
                <w:szCs w:val="20"/>
              </w:rPr>
              <w:t>Formative Assessments &amp; Projects</w:t>
            </w:r>
          </w:p>
        </w:tc>
        <w:tc>
          <w:tcPr>
            <w:tcW w:w="1083" w:type="dxa"/>
            <w:shd w:val="clear" w:color="auto" w:fill="FFFFFF" w:themeFill="background1"/>
            <w:vAlign w:val="center"/>
          </w:tcPr>
          <w:p w:rsidR="00AB38C3" w:rsidRPr="00B60605" w:rsidRDefault="00AB38C3" w:rsidP="00AB38C3">
            <w:pPr>
              <w:jc w:val="center"/>
              <w:rPr>
                <w:rFonts w:cstheme="minorHAnsi"/>
                <w:b/>
                <w:sz w:val="20"/>
                <w:szCs w:val="20"/>
              </w:rPr>
            </w:pPr>
            <w:r>
              <w:rPr>
                <w:rFonts w:cstheme="minorHAnsi"/>
                <w:b/>
                <w:sz w:val="20"/>
                <w:szCs w:val="20"/>
              </w:rPr>
              <w:t>10%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val="restart"/>
            <w:shd w:val="clear" w:color="auto" w:fill="D9D9D9" w:themeFill="background1" w:themeFillShade="D9"/>
          </w:tcPr>
          <w:p w:rsidR="00EE3DC4" w:rsidRPr="00B60605" w:rsidRDefault="00AB38C3" w:rsidP="00EE3DC4">
            <w:pPr>
              <w:rPr>
                <w:rFonts w:cstheme="minorHAnsi"/>
                <w:b/>
                <w:sz w:val="16"/>
                <w:szCs w:val="16"/>
              </w:rPr>
            </w:pPr>
            <w:r w:rsidRPr="00B60605">
              <w:rPr>
                <w:rFonts w:cstheme="minorHAnsi"/>
                <w:b/>
                <w:sz w:val="16"/>
                <w:szCs w:val="16"/>
              </w:rPr>
              <w:t>*Weekly progress grade</w:t>
            </w:r>
            <w:r>
              <w:rPr>
                <w:rFonts w:cstheme="minorHAnsi"/>
                <w:b/>
                <w:sz w:val="16"/>
                <w:szCs w:val="16"/>
              </w:rPr>
              <w:t xml:space="preserve">s are posted at </w:t>
            </w:r>
            <w:hyperlink r:id="rId9" w:history="1">
              <w:r w:rsidR="00DB7FC9" w:rsidRPr="009E1C4D">
                <w:rPr>
                  <w:rStyle w:val="Hyperlink"/>
                  <w:rFonts w:cstheme="minorHAnsi"/>
                  <w:b/>
                  <w:sz w:val="16"/>
                  <w:szCs w:val="16"/>
                </w:rPr>
                <w:t>https://ic.adams12.org/campus/portal/adams12.isp</w:t>
              </w:r>
            </w:hyperlink>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F079DB" w:rsidRPr="004979C3" w:rsidRDefault="00F079DB">
      <w:pPr>
        <w:rPr>
          <w:sz w:val="28"/>
        </w:rPr>
      </w:pPr>
    </w:p>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C27EBC" w:rsidRPr="00A5101C" w:rsidTr="00C27EBC">
        <w:trPr>
          <w:trHeight w:val="195"/>
        </w:trPr>
        <w:tc>
          <w:tcPr>
            <w:tcW w:w="10015" w:type="dxa"/>
            <w:tcBorders>
              <w:bottom w:val="single" w:sz="4" w:space="0" w:color="auto"/>
            </w:tcBorders>
            <w:shd w:val="clear" w:color="auto" w:fill="FFFFFF" w:themeFill="background1"/>
          </w:tcPr>
          <w:p w:rsidR="00C27EBC" w:rsidRPr="00C27EBC" w:rsidRDefault="00C27EBC" w:rsidP="00C27EBC">
            <w:pPr>
              <w:jc w:val="center"/>
              <w:rPr>
                <w:rFonts w:cstheme="minorHAnsi"/>
                <w:b/>
                <w:sz w:val="20"/>
                <w:szCs w:val="20"/>
              </w:rPr>
            </w:pPr>
            <w:r w:rsidRPr="00C27EBC">
              <w:rPr>
                <w:rFonts w:cstheme="minorHAnsi"/>
                <w:b/>
                <w:sz w:val="20"/>
                <w:szCs w:val="20"/>
              </w:rPr>
              <w:t>Expected Calculator Skill Outcomes</w:t>
            </w:r>
          </w:p>
        </w:tc>
      </w:tr>
      <w:tr w:rsidR="00C27EBC" w:rsidRPr="00A5101C" w:rsidTr="00C27EBC">
        <w:trPr>
          <w:trHeight w:val="195"/>
        </w:trPr>
        <w:tc>
          <w:tcPr>
            <w:tcW w:w="10015" w:type="dxa"/>
            <w:tcBorders>
              <w:bottom w:val="single" w:sz="4" w:space="0" w:color="auto"/>
            </w:tcBorders>
            <w:shd w:val="clear" w:color="auto" w:fill="FFFFFF" w:themeFill="background1"/>
          </w:tcPr>
          <w:p w:rsidR="00C27EBC" w:rsidRDefault="00C27EBC" w:rsidP="00C27EBC">
            <w:pPr>
              <w:numPr>
                <w:ilvl w:val="0"/>
                <w:numId w:val="7"/>
              </w:numPr>
              <w:ind w:left="245" w:hanging="180"/>
              <w:rPr>
                <w:rFonts w:cstheme="minorHAnsi"/>
                <w:sz w:val="20"/>
                <w:szCs w:val="20"/>
              </w:rPr>
            </w:pPr>
            <w:r>
              <w:rPr>
                <w:rFonts w:cstheme="minorHAnsi"/>
                <w:sz w:val="20"/>
                <w:szCs w:val="20"/>
              </w:rPr>
              <w:t>Create graphical summaries of data including histograms, scatterplots, boxplots and normal probability plots.</w:t>
            </w:r>
          </w:p>
          <w:p w:rsidR="00C27EBC" w:rsidRDefault="00C27EBC" w:rsidP="00C27EBC">
            <w:pPr>
              <w:numPr>
                <w:ilvl w:val="0"/>
                <w:numId w:val="7"/>
              </w:numPr>
              <w:ind w:left="245" w:hanging="180"/>
              <w:rPr>
                <w:rFonts w:cstheme="minorHAnsi"/>
                <w:sz w:val="20"/>
                <w:szCs w:val="20"/>
              </w:rPr>
            </w:pPr>
            <w:r>
              <w:rPr>
                <w:rFonts w:cstheme="minorHAnsi"/>
                <w:sz w:val="20"/>
                <w:szCs w:val="20"/>
              </w:rPr>
              <w:t>Create numerical summaries of 1 variable data including mean, standard deviation and 5 number summaries.</w:t>
            </w:r>
          </w:p>
          <w:p w:rsidR="00C27EBC" w:rsidRDefault="00C27EBC" w:rsidP="00C27EBC">
            <w:pPr>
              <w:numPr>
                <w:ilvl w:val="0"/>
                <w:numId w:val="7"/>
              </w:numPr>
              <w:ind w:left="245" w:hanging="180"/>
              <w:rPr>
                <w:rFonts w:cstheme="minorHAnsi"/>
                <w:sz w:val="20"/>
                <w:szCs w:val="20"/>
              </w:rPr>
            </w:pPr>
            <w:r>
              <w:rPr>
                <w:rFonts w:cstheme="minorHAnsi"/>
                <w:sz w:val="20"/>
                <w:szCs w:val="20"/>
              </w:rPr>
              <w:t>Create numerical summaries of 2 variable data including regression analysis and correlation.</w:t>
            </w:r>
          </w:p>
          <w:p w:rsidR="00C27EBC" w:rsidRDefault="00C27EBC" w:rsidP="00C27EBC">
            <w:pPr>
              <w:numPr>
                <w:ilvl w:val="0"/>
                <w:numId w:val="7"/>
              </w:numPr>
              <w:ind w:left="245" w:hanging="180"/>
              <w:rPr>
                <w:rFonts w:cstheme="minorHAnsi"/>
                <w:sz w:val="20"/>
                <w:szCs w:val="20"/>
              </w:rPr>
            </w:pPr>
            <w:r>
              <w:rPr>
                <w:rFonts w:cstheme="minorHAnsi"/>
                <w:sz w:val="20"/>
                <w:szCs w:val="20"/>
              </w:rPr>
              <w:t>Use the random number generation tools to simulate a situation.</w:t>
            </w:r>
          </w:p>
          <w:p w:rsidR="00C27EBC" w:rsidRDefault="00C27EBC" w:rsidP="00C27EBC">
            <w:pPr>
              <w:numPr>
                <w:ilvl w:val="0"/>
                <w:numId w:val="7"/>
              </w:numPr>
              <w:ind w:left="245" w:hanging="180"/>
              <w:rPr>
                <w:rFonts w:cstheme="minorHAnsi"/>
                <w:sz w:val="20"/>
                <w:szCs w:val="20"/>
              </w:rPr>
            </w:pPr>
            <w:r>
              <w:rPr>
                <w:rFonts w:cstheme="minorHAnsi"/>
                <w:sz w:val="20"/>
                <w:szCs w:val="20"/>
              </w:rPr>
              <w:t>Use table tools to set up and manipulate data for various calculations.</w:t>
            </w:r>
          </w:p>
          <w:p w:rsidR="00C27EBC" w:rsidRPr="00C27EBC" w:rsidRDefault="00C27EBC" w:rsidP="00C27EBC">
            <w:pPr>
              <w:numPr>
                <w:ilvl w:val="0"/>
                <w:numId w:val="7"/>
              </w:numPr>
              <w:ind w:left="245" w:hanging="180"/>
              <w:rPr>
                <w:rFonts w:cstheme="minorHAnsi"/>
                <w:b/>
                <w:sz w:val="20"/>
                <w:szCs w:val="20"/>
              </w:rPr>
            </w:pPr>
            <w:r>
              <w:rPr>
                <w:rFonts w:cstheme="minorHAnsi"/>
                <w:sz w:val="20"/>
                <w:szCs w:val="20"/>
              </w:rPr>
              <w:t xml:space="preserve">Use the normal, binomial and geometric distribution calculations including </w:t>
            </w:r>
            <w:proofErr w:type="spellStart"/>
            <w:r>
              <w:rPr>
                <w:rFonts w:cstheme="minorHAnsi"/>
                <w:sz w:val="20"/>
                <w:szCs w:val="20"/>
              </w:rPr>
              <w:t>cdf</w:t>
            </w:r>
            <w:proofErr w:type="spellEnd"/>
            <w:r>
              <w:rPr>
                <w:rFonts w:cstheme="minorHAnsi"/>
                <w:sz w:val="20"/>
                <w:szCs w:val="20"/>
              </w:rPr>
              <w:t xml:space="preserve"> and pdf.</w:t>
            </w:r>
          </w:p>
          <w:p w:rsidR="00C27EBC" w:rsidRDefault="00C27EBC" w:rsidP="00C27EBC">
            <w:pPr>
              <w:numPr>
                <w:ilvl w:val="0"/>
                <w:numId w:val="7"/>
              </w:numPr>
              <w:ind w:left="245" w:hanging="180"/>
              <w:rPr>
                <w:rFonts w:cstheme="minorHAnsi"/>
                <w:b/>
                <w:sz w:val="20"/>
                <w:szCs w:val="20"/>
              </w:rPr>
            </w:pPr>
            <w:r>
              <w:rPr>
                <w:rFonts w:cstheme="minorHAnsi"/>
                <w:sz w:val="20"/>
                <w:szCs w:val="20"/>
              </w:rPr>
              <w:t>Calculate various significance tests and confidence intervals including proportions, means, and chi square tests.</w:t>
            </w:r>
          </w:p>
        </w:tc>
      </w:tr>
      <w:tr w:rsidR="0048208A" w:rsidRPr="00A5101C" w:rsidTr="00C27EBC">
        <w:trPr>
          <w:trHeight w:val="195"/>
        </w:trPr>
        <w:tc>
          <w:tcPr>
            <w:tcW w:w="10015" w:type="dxa"/>
            <w:tcBorders>
              <w:bottom w:val="single" w:sz="4" w:space="0" w:color="auto"/>
            </w:tcBorders>
            <w:shd w:val="clear" w:color="auto" w:fill="D9D9D9" w:themeFill="background1" w:themeFillShade="D9"/>
          </w:tcPr>
          <w:p w:rsidR="0048208A" w:rsidRPr="00C27EBC" w:rsidRDefault="0048208A" w:rsidP="00C27EBC">
            <w:pPr>
              <w:jc w:val="center"/>
              <w:rPr>
                <w:rFonts w:cstheme="minorHAnsi"/>
                <w:sz w:val="20"/>
                <w:szCs w:val="20"/>
              </w:rPr>
            </w:pPr>
            <w:r w:rsidRPr="00C27EBC">
              <w:rPr>
                <w:rFonts w:cstheme="minorHAnsi"/>
                <w:b/>
                <w:sz w:val="20"/>
                <w:szCs w:val="20"/>
              </w:rPr>
              <w:t>General Expectations</w:t>
            </w:r>
          </w:p>
        </w:tc>
      </w:tr>
      <w:tr w:rsidR="00DB7FC9" w:rsidRPr="00A5101C" w:rsidTr="00C27EBC">
        <w:trPr>
          <w:trHeight w:val="2040"/>
        </w:trPr>
        <w:tc>
          <w:tcPr>
            <w:tcW w:w="10015" w:type="dxa"/>
            <w:tcBorders>
              <w:bottom w:val="single" w:sz="4" w:space="0" w:color="auto"/>
            </w:tcBorders>
            <w:shd w:val="clear" w:color="auto" w:fill="D9D9D9" w:themeFill="background1" w:themeFillShade="D9"/>
          </w:tcPr>
          <w:p w:rsidR="00DB7FC9" w:rsidRPr="00C27EBC" w:rsidRDefault="00DB7FC9" w:rsidP="00C27EBC">
            <w:pPr>
              <w:pStyle w:val="ListParagraph"/>
              <w:numPr>
                <w:ilvl w:val="0"/>
                <w:numId w:val="1"/>
              </w:numPr>
              <w:ind w:left="270" w:hanging="180"/>
              <w:rPr>
                <w:rFonts w:cstheme="minorHAnsi"/>
                <w:sz w:val="20"/>
                <w:szCs w:val="20"/>
              </w:rPr>
            </w:pPr>
            <w:r w:rsidRPr="00C27EBC">
              <w:rPr>
                <w:rFonts w:cstheme="minorHAnsi"/>
                <w:sz w:val="20"/>
                <w:szCs w:val="20"/>
              </w:rPr>
              <w:t>Grades are based upon the demonstration of proficiency on units associated with a standard given during each formative or summative assessment. Formative grades in addition to summative unit assessments will be used to holistically determine your grade.</w:t>
            </w:r>
          </w:p>
          <w:p w:rsidR="00DB7FC9" w:rsidRPr="00C27EBC" w:rsidRDefault="00DB7FC9" w:rsidP="00C27EBC">
            <w:pPr>
              <w:pStyle w:val="ListParagraph"/>
              <w:numPr>
                <w:ilvl w:val="0"/>
                <w:numId w:val="1"/>
              </w:numPr>
              <w:ind w:left="270" w:hanging="180"/>
              <w:rPr>
                <w:rFonts w:cstheme="minorHAnsi"/>
                <w:sz w:val="20"/>
                <w:szCs w:val="20"/>
              </w:rPr>
            </w:pPr>
            <w:r w:rsidRPr="00C27EBC">
              <w:rPr>
                <w:rFonts w:cstheme="minorHAnsi"/>
                <w:b/>
                <w:sz w:val="20"/>
                <w:szCs w:val="20"/>
              </w:rPr>
              <w:t xml:space="preserve">Summative: 90% </w:t>
            </w:r>
            <w:r w:rsidRPr="00C27EBC">
              <w:rPr>
                <w:rFonts w:cstheme="minorHAnsi"/>
                <w:sz w:val="20"/>
                <w:szCs w:val="20"/>
              </w:rPr>
              <w:t>Summative measures of achievement are taken when unit master is expected. (i.e., unit tests, culmination of a project, embedded assessments, etc.)</w:t>
            </w:r>
          </w:p>
          <w:p w:rsidR="00DB7FC9" w:rsidRPr="00C27EBC" w:rsidRDefault="00DB7FC9" w:rsidP="00C27EBC">
            <w:pPr>
              <w:pStyle w:val="ListParagraph"/>
              <w:numPr>
                <w:ilvl w:val="0"/>
                <w:numId w:val="1"/>
              </w:numPr>
              <w:ind w:left="270" w:hanging="180"/>
              <w:rPr>
                <w:rFonts w:cstheme="minorHAnsi"/>
                <w:sz w:val="20"/>
                <w:szCs w:val="20"/>
              </w:rPr>
            </w:pPr>
            <w:r w:rsidRPr="00C27EBC">
              <w:rPr>
                <w:rFonts w:cstheme="minorHAnsi"/>
                <w:b/>
                <w:sz w:val="20"/>
                <w:szCs w:val="20"/>
              </w:rPr>
              <w:t>Formative: 10%</w:t>
            </w:r>
            <w:r w:rsidRPr="00C27EBC">
              <w:rPr>
                <w:rFonts w:cstheme="minorHAnsi"/>
                <w:sz w:val="20"/>
                <w:szCs w:val="20"/>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DB7FC9" w:rsidRPr="00C27EBC" w:rsidRDefault="00DB7FC9" w:rsidP="00C27EBC">
            <w:pPr>
              <w:pStyle w:val="ListParagraph"/>
              <w:numPr>
                <w:ilvl w:val="0"/>
                <w:numId w:val="1"/>
              </w:numPr>
              <w:ind w:left="270" w:hanging="180"/>
              <w:rPr>
                <w:rFonts w:cstheme="minorHAnsi"/>
                <w:sz w:val="20"/>
                <w:szCs w:val="20"/>
              </w:rPr>
            </w:pPr>
            <w:r w:rsidRPr="00C27EBC">
              <w:rPr>
                <w:rFonts w:cstheme="minorHAnsi"/>
                <w:sz w:val="20"/>
                <w:szCs w:val="20"/>
              </w:rPr>
              <w:t>Assessments will be graded based on teacher/district/state rubrics.</w:t>
            </w:r>
          </w:p>
          <w:p w:rsidR="00DB7FC9" w:rsidRPr="00C27EBC" w:rsidRDefault="00DB7FC9" w:rsidP="00C27EBC">
            <w:pPr>
              <w:pStyle w:val="ListParagraph"/>
              <w:numPr>
                <w:ilvl w:val="0"/>
                <w:numId w:val="1"/>
              </w:numPr>
              <w:ind w:left="270" w:hanging="180"/>
              <w:rPr>
                <w:rFonts w:cstheme="minorHAnsi"/>
                <w:sz w:val="20"/>
                <w:szCs w:val="20"/>
              </w:rPr>
            </w:pPr>
            <w:r w:rsidRPr="00C27EBC">
              <w:rPr>
                <w:rFonts w:cstheme="minorHAnsi"/>
                <w:sz w:val="20"/>
                <w:szCs w:val="20"/>
              </w:rPr>
              <w:t>On group projects, students will receive a grade for individual work and a group grade.</w:t>
            </w:r>
          </w:p>
          <w:p w:rsidR="00DB7FC9" w:rsidRPr="00C27EBC" w:rsidRDefault="00DB7FC9" w:rsidP="00C27EBC">
            <w:pPr>
              <w:pStyle w:val="ListParagraph"/>
              <w:numPr>
                <w:ilvl w:val="0"/>
                <w:numId w:val="1"/>
              </w:numPr>
              <w:ind w:left="270" w:hanging="180"/>
              <w:rPr>
                <w:rFonts w:cstheme="minorHAnsi"/>
                <w:b/>
                <w:sz w:val="20"/>
                <w:szCs w:val="20"/>
              </w:rPr>
            </w:pPr>
            <w:r w:rsidRPr="00C27EBC">
              <w:rPr>
                <w:rFonts w:cstheme="minorHAnsi"/>
                <w:sz w:val="20"/>
                <w:szCs w:val="20"/>
              </w:rPr>
              <w:t>Grades are based on achievement of Content Standards and Grade Level Expectations.</w:t>
            </w:r>
          </w:p>
        </w:tc>
      </w:tr>
      <w:tr w:rsidR="0048208A" w:rsidRPr="003C51E9" w:rsidTr="00C27EBC">
        <w:trPr>
          <w:trHeight w:val="210"/>
        </w:trPr>
        <w:tc>
          <w:tcPr>
            <w:tcW w:w="10015" w:type="dxa"/>
            <w:shd w:val="clear" w:color="auto" w:fill="auto"/>
          </w:tcPr>
          <w:p w:rsidR="00C27EBC" w:rsidRPr="00C27EBC" w:rsidRDefault="00DB7FC9" w:rsidP="00C27EBC">
            <w:pPr>
              <w:jc w:val="center"/>
              <w:rPr>
                <w:rFonts w:cstheme="minorHAnsi"/>
                <w:sz w:val="20"/>
                <w:szCs w:val="20"/>
              </w:rPr>
            </w:pPr>
            <w:r w:rsidRPr="00C27EBC">
              <w:rPr>
                <w:rFonts w:cstheme="minorHAnsi"/>
                <w:sz w:val="20"/>
                <w:szCs w:val="20"/>
              </w:rPr>
              <w:t>A</w:t>
            </w:r>
            <w:r w:rsidRPr="00C27EBC">
              <w:rPr>
                <w:rFonts w:cstheme="minorHAnsi"/>
                <w:b/>
                <w:sz w:val="20"/>
                <w:szCs w:val="20"/>
              </w:rPr>
              <w:t>P Preparedness Expectations</w:t>
            </w:r>
          </w:p>
        </w:tc>
      </w:tr>
      <w:tr w:rsidR="00C27EBC" w:rsidRPr="003C51E9" w:rsidTr="00C27EBC">
        <w:trPr>
          <w:trHeight w:val="2985"/>
        </w:trPr>
        <w:tc>
          <w:tcPr>
            <w:tcW w:w="10015" w:type="dxa"/>
            <w:shd w:val="clear" w:color="auto" w:fill="auto"/>
          </w:tcPr>
          <w:p w:rsidR="00C27EBC" w:rsidRPr="00C27EBC" w:rsidRDefault="00C27EBC" w:rsidP="00C27EBC">
            <w:pPr>
              <w:rPr>
                <w:rFonts w:cstheme="minorHAnsi"/>
                <w:b/>
                <w:sz w:val="20"/>
                <w:szCs w:val="20"/>
              </w:rPr>
            </w:pPr>
            <w:r w:rsidRPr="00C27EBC">
              <w:rPr>
                <w:rFonts w:cstheme="minorHAnsi"/>
                <w:b/>
                <w:sz w:val="20"/>
                <w:szCs w:val="20"/>
              </w:rPr>
              <w:t>Mock Exam Participation</w:t>
            </w:r>
          </w:p>
          <w:p w:rsidR="00C27EBC" w:rsidRPr="00C27EBC" w:rsidRDefault="00C27EBC" w:rsidP="00C27EBC">
            <w:pPr>
              <w:pStyle w:val="ListParagraph"/>
              <w:numPr>
                <w:ilvl w:val="0"/>
                <w:numId w:val="9"/>
              </w:numPr>
              <w:ind w:left="360"/>
              <w:rPr>
                <w:rFonts w:cstheme="minorHAnsi"/>
                <w:sz w:val="20"/>
                <w:szCs w:val="20"/>
              </w:rPr>
            </w:pPr>
            <w:r w:rsidRPr="00C27EBC">
              <w:rPr>
                <w:rFonts w:cstheme="minorHAnsi"/>
                <w:sz w:val="20"/>
                <w:szCs w:val="20"/>
              </w:rPr>
              <w:t>A mock exam will be given in the spring that will be graded by a team of AP Stats teachers.  The intent of this exam is to have a similar testing environment as the AP exam and to give accurate feedback on content that needs to be reviewed before the actual exam is given.</w:t>
            </w:r>
          </w:p>
          <w:p w:rsidR="00C27EBC" w:rsidRPr="00C27EBC" w:rsidRDefault="00C27EBC" w:rsidP="00C27EBC">
            <w:pPr>
              <w:pStyle w:val="ListParagraph"/>
              <w:numPr>
                <w:ilvl w:val="0"/>
                <w:numId w:val="9"/>
              </w:numPr>
              <w:ind w:left="360"/>
              <w:rPr>
                <w:rFonts w:cstheme="minorHAnsi"/>
                <w:sz w:val="20"/>
                <w:szCs w:val="20"/>
              </w:rPr>
            </w:pPr>
            <w:r w:rsidRPr="00C27EBC">
              <w:rPr>
                <w:rFonts w:cstheme="minorHAnsi"/>
                <w:sz w:val="20"/>
                <w:szCs w:val="20"/>
              </w:rPr>
              <w:t xml:space="preserve">The expectation is that </w:t>
            </w:r>
            <w:r w:rsidRPr="004979C3">
              <w:rPr>
                <w:rFonts w:cstheme="minorHAnsi"/>
                <w:b/>
                <w:sz w:val="20"/>
                <w:szCs w:val="20"/>
              </w:rPr>
              <w:t>ALL</w:t>
            </w:r>
            <w:r w:rsidRPr="00C27EBC">
              <w:rPr>
                <w:rFonts w:cstheme="minorHAnsi"/>
                <w:sz w:val="20"/>
                <w:szCs w:val="20"/>
              </w:rPr>
              <w:t xml:space="preserve"> students take this – during the time frame provided by the school and the Colorado Legacy Grant.  A formative grade will be given for attendance and participation in the mock exam.</w:t>
            </w:r>
          </w:p>
          <w:p w:rsidR="00C27EBC" w:rsidRPr="00C27EBC" w:rsidRDefault="00C27EBC" w:rsidP="00C27EBC">
            <w:pPr>
              <w:rPr>
                <w:rFonts w:cstheme="minorHAnsi"/>
                <w:b/>
                <w:sz w:val="20"/>
                <w:szCs w:val="20"/>
              </w:rPr>
            </w:pPr>
            <w:r w:rsidRPr="00C27EBC">
              <w:rPr>
                <w:rFonts w:cstheme="minorHAnsi"/>
                <w:b/>
                <w:sz w:val="20"/>
                <w:szCs w:val="20"/>
              </w:rPr>
              <w:t>Structured Tutorials &amp; Help Sessions</w:t>
            </w:r>
          </w:p>
          <w:p w:rsidR="00C27EBC" w:rsidRPr="00C27EBC" w:rsidRDefault="00C27EBC" w:rsidP="00C27EBC">
            <w:pPr>
              <w:pStyle w:val="ListParagraph"/>
              <w:numPr>
                <w:ilvl w:val="0"/>
                <w:numId w:val="10"/>
              </w:numPr>
              <w:ind w:left="360"/>
              <w:rPr>
                <w:rFonts w:cstheme="minorHAnsi"/>
                <w:sz w:val="20"/>
                <w:szCs w:val="20"/>
              </w:rPr>
            </w:pPr>
            <w:r w:rsidRPr="00C27EBC">
              <w:rPr>
                <w:rFonts w:cstheme="minorHAnsi"/>
                <w:sz w:val="20"/>
                <w:szCs w:val="20"/>
              </w:rPr>
              <w:t>Under the Colorado Legacy Grant students will be provided with many opportunities for additional learning and review of important concepts.  There will be 3 Saturday sessions in the spring and at least 1 hour per week provided by the instructor during each week of school.  Attendance at these sessions has been linked to success on the exam.  Students are expected to attend at least 10 hours of these additional sessions.  A formative score will be given to reflect attendance and participation in these sessions.</w:t>
            </w:r>
          </w:p>
        </w:tc>
      </w:tr>
      <w:tr w:rsidR="0048208A" w:rsidRPr="00BA3244" w:rsidTr="00C27EBC">
        <w:trPr>
          <w:trHeight w:val="440"/>
        </w:trPr>
        <w:tc>
          <w:tcPr>
            <w:tcW w:w="10015" w:type="dxa"/>
            <w:shd w:val="clear" w:color="auto" w:fill="D9D9D9" w:themeFill="background1" w:themeFillShade="D9"/>
          </w:tcPr>
          <w:p w:rsidR="0048208A" w:rsidRPr="00C27EBC" w:rsidRDefault="0048208A" w:rsidP="00C27EBC">
            <w:pPr>
              <w:jc w:val="center"/>
              <w:rPr>
                <w:rFonts w:cstheme="minorHAnsi"/>
                <w:b/>
                <w:sz w:val="20"/>
                <w:szCs w:val="20"/>
              </w:rPr>
            </w:pPr>
            <w:r w:rsidRPr="00C27EBC">
              <w:rPr>
                <w:rFonts w:cstheme="minorHAnsi"/>
                <w:b/>
                <w:sz w:val="20"/>
                <w:szCs w:val="20"/>
              </w:rPr>
              <w:t>Class Expectations</w:t>
            </w:r>
          </w:p>
        </w:tc>
      </w:tr>
      <w:tr w:rsidR="0048208A" w:rsidRPr="00D7735A" w:rsidTr="00C27EBC">
        <w:tc>
          <w:tcPr>
            <w:tcW w:w="10015" w:type="dxa"/>
            <w:tcBorders>
              <w:bottom w:val="single" w:sz="4" w:space="0" w:color="auto"/>
            </w:tcBorders>
            <w:shd w:val="clear" w:color="auto" w:fill="D9D9D9" w:themeFill="background1" w:themeFillShade="D9"/>
          </w:tcPr>
          <w:p w:rsidR="001D5B30" w:rsidRPr="00C27EBC" w:rsidRDefault="001D5B30" w:rsidP="00C27EBC">
            <w:pPr>
              <w:rPr>
                <w:b/>
                <w:sz w:val="20"/>
                <w:szCs w:val="20"/>
              </w:rPr>
            </w:pPr>
            <w:r w:rsidRPr="00C27EBC">
              <w:rPr>
                <w:b/>
                <w:sz w:val="20"/>
                <w:szCs w:val="20"/>
              </w:rPr>
              <w:t xml:space="preserve">Additional Help: </w:t>
            </w:r>
          </w:p>
          <w:p w:rsidR="001D5B30" w:rsidRPr="00C27EBC" w:rsidRDefault="001D5B30" w:rsidP="00C27EBC">
            <w:pPr>
              <w:numPr>
                <w:ilvl w:val="0"/>
                <w:numId w:val="2"/>
              </w:numPr>
              <w:ind w:left="360"/>
              <w:rPr>
                <w:sz w:val="20"/>
                <w:szCs w:val="20"/>
              </w:rPr>
            </w:pPr>
            <w:r w:rsidRPr="00C27EBC">
              <w:rPr>
                <w:sz w:val="20"/>
                <w:szCs w:val="20"/>
              </w:rPr>
              <w:t xml:space="preserve">I will be available in room 230 during </w:t>
            </w:r>
            <w:r w:rsidR="004979C3">
              <w:rPr>
                <w:sz w:val="20"/>
                <w:szCs w:val="20"/>
              </w:rPr>
              <w:t>lunch</w:t>
            </w:r>
            <w:r w:rsidRPr="00C27EBC">
              <w:rPr>
                <w:sz w:val="20"/>
                <w:szCs w:val="20"/>
              </w:rPr>
              <w:t xml:space="preserve"> most days to give extra help.  Please let me know if you plan on stopping by</w:t>
            </w:r>
            <w:r w:rsidR="004979C3">
              <w:rPr>
                <w:sz w:val="20"/>
                <w:szCs w:val="20"/>
              </w:rPr>
              <w:t>.  I</w:t>
            </w:r>
            <w:r w:rsidRPr="00C27EBC">
              <w:rPr>
                <w:sz w:val="20"/>
                <w:szCs w:val="20"/>
              </w:rPr>
              <w:t xml:space="preserve">f those times </w:t>
            </w:r>
            <w:r w:rsidR="004979C3">
              <w:rPr>
                <w:sz w:val="20"/>
                <w:szCs w:val="20"/>
              </w:rPr>
              <w:t xml:space="preserve">do not </w:t>
            </w:r>
            <w:r w:rsidRPr="00C27EBC">
              <w:rPr>
                <w:sz w:val="20"/>
                <w:szCs w:val="20"/>
              </w:rPr>
              <w:t>work, please set an appointment.</w:t>
            </w:r>
          </w:p>
          <w:p w:rsidR="001D5B30" w:rsidRPr="00C27EBC" w:rsidRDefault="001D5B30" w:rsidP="00C27EBC">
            <w:pPr>
              <w:rPr>
                <w:b/>
                <w:sz w:val="20"/>
                <w:szCs w:val="20"/>
              </w:rPr>
            </w:pPr>
            <w:r w:rsidRPr="00C27EBC">
              <w:rPr>
                <w:b/>
                <w:sz w:val="20"/>
                <w:szCs w:val="20"/>
              </w:rPr>
              <w:t>Materials and Supplies Needed Daily</w:t>
            </w:r>
          </w:p>
          <w:p w:rsidR="001D5B30" w:rsidRPr="00C27EBC" w:rsidRDefault="001D5B30" w:rsidP="00C27EBC">
            <w:pPr>
              <w:numPr>
                <w:ilvl w:val="0"/>
                <w:numId w:val="2"/>
              </w:numPr>
              <w:ind w:left="360"/>
              <w:rPr>
                <w:sz w:val="20"/>
                <w:szCs w:val="20"/>
              </w:rPr>
            </w:pPr>
            <w:r w:rsidRPr="00C27EBC">
              <w:rPr>
                <w:sz w:val="20"/>
                <w:szCs w:val="20"/>
              </w:rPr>
              <w:t>Pap</w:t>
            </w:r>
            <w:r w:rsidR="00C27EBC">
              <w:rPr>
                <w:sz w:val="20"/>
                <w:szCs w:val="20"/>
              </w:rPr>
              <w:t>er, Pencil , Textbook,</w:t>
            </w:r>
            <w:r w:rsidR="00A25325">
              <w:rPr>
                <w:sz w:val="20"/>
                <w:szCs w:val="20"/>
              </w:rPr>
              <w:t xml:space="preserve"> </w:t>
            </w:r>
            <w:r w:rsidRPr="00C27EBC">
              <w:rPr>
                <w:sz w:val="20"/>
                <w:szCs w:val="20"/>
              </w:rPr>
              <w:t>TI83 or 84</w:t>
            </w:r>
            <w:r w:rsidR="00A25325">
              <w:rPr>
                <w:sz w:val="20"/>
                <w:szCs w:val="20"/>
              </w:rPr>
              <w:t xml:space="preserve"> or TI-</w:t>
            </w:r>
            <w:proofErr w:type="spellStart"/>
            <w:r w:rsidR="00A25325">
              <w:rPr>
                <w:sz w:val="20"/>
                <w:szCs w:val="20"/>
              </w:rPr>
              <w:t>n</w:t>
            </w:r>
            <w:r w:rsidR="00124DA3">
              <w:rPr>
                <w:sz w:val="20"/>
                <w:szCs w:val="20"/>
              </w:rPr>
              <w:t>sp</w:t>
            </w:r>
            <w:r w:rsidR="00A25325">
              <w:rPr>
                <w:sz w:val="20"/>
                <w:szCs w:val="20"/>
              </w:rPr>
              <w:t>ire</w:t>
            </w:r>
            <w:proofErr w:type="spellEnd"/>
            <w:r w:rsidRPr="00C27EBC">
              <w:rPr>
                <w:sz w:val="20"/>
                <w:szCs w:val="20"/>
              </w:rPr>
              <w:t xml:space="preserve"> (will be provided during clas</w:t>
            </w:r>
            <w:r w:rsidR="00A25325">
              <w:rPr>
                <w:sz w:val="20"/>
                <w:szCs w:val="20"/>
              </w:rPr>
              <w:t>s if student doesn’t have one)</w:t>
            </w:r>
          </w:p>
          <w:p w:rsidR="001D5B30" w:rsidRPr="00C27EBC" w:rsidRDefault="001D5B30" w:rsidP="00C27EBC">
            <w:pPr>
              <w:rPr>
                <w:b/>
                <w:sz w:val="20"/>
                <w:szCs w:val="20"/>
              </w:rPr>
            </w:pPr>
            <w:r w:rsidRPr="00C27EBC">
              <w:rPr>
                <w:b/>
                <w:sz w:val="20"/>
                <w:szCs w:val="20"/>
              </w:rPr>
              <w:t>Accommodations</w:t>
            </w:r>
          </w:p>
          <w:p w:rsidR="001D5B30" w:rsidRPr="00C27EBC" w:rsidRDefault="001D5B30" w:rsidP="00C27EBC">
            <w:pPr>
              <w:pStyle w:val="ListParagraph"/>
              <w:numPr>
                <w:ilvl w:val="0"/>
                <w:numId w:val="2"/>
              </w:numPr>
              <w:tabs>
                <w:tab w:val="clear" w:pos="720"/>
                <w:tab w:val="num" w:pos="360"/>
              </w:tabs>
              <w:ind w:left="360"/>
              <w:rPr>
                <w:sz w:val="20"/>
                <w:szCs w:val="20"/>
              </w:rPr>
            </w:pPr>
            <w:r w:rsidRPr="00C27EBC">
              <w:rPr>
                <w:sz w:val="20"/>
                <w:szCs w:val="20"/>
              </w:rPr>
              <w:t>A variety of teaching techniques are used to meet the diverse needs of students.  I am available by phone or appointment to discuss concerns or needs of students with special needs.</w:t>
            </w:r>
          </w:p>
          <w:p w:rsidR="001D5B30" w:rsidRPr="00C27EBC" w:rsidRDefault="001D5B30" w:rsidP="00C27EBC">
            <w:pPr>
              <w:rPr>
                <w:b/>
                <w:sz w:val="20"/>
                <w:szCs w:val="20"/>
              </w:rPr>
            </w:pPr>
            <w:r w:rsidRPr="00C27EBC">
              <w:rPr>
                <w:b/>
                <w:sz w:val="20"/>
                <w:szCs w:val="20"/>
              </w:rPr>
              <w:t>Assessments Used To Evaluate Student Progress</w:t>
            </w:r>
          </w:p>
          <w:p w:rsidR="001D5B30" w:rsidRPr="00C27EBC" w:rsidRDefault="001D5B30" w:rsidP="00C27EBC">
            <w:pPr>
              <w:pStyle w:val="ListParagraph"/>
              <w:numPr>
                <w:ilvl w:val="0"/>
                <w:numId w:val="5"/>
              </w:numPr>
              <w:rPr>
                <w:sz w:val="20"/>
                <w:szCs w:val="20"/>
              </w:rPr>
            </w:pPr>
            <w:r w:rsidRPr="00C27EBC">
              <w:rPr>
                <w:sz w:val="20"/>
                <w:szCs w:val="20"/>
              </w:rPr>
              <w:t>Assignments, Investigations, Observations, Participation, Quizzes, and Tests</w:t>
            </w:r>
          </w:p>
          <w:p w:rsidR="001D5B30" w:rsidRPr="00C27EBC" w:rsidRDefault="001D5B30" w:rsidP="00C27EBC">
            <w:pPr>
              <w:rPr>
                <w:b/>
                <w:sz w:val="20"/>
                <w:szCs w:val="20"/>
              </w:rPr>
            </w:pPr>
            <w:r w:rsidRPr="00C27EBC">
              <w:rPr>
                <w:b/>
                <w:sz w:val="20"/>
                <w:szCs w:val="20"/>
              </w:rPr>
              <w:t>Motivation Used</w:t>
            </w:r>
          </w:p>
          <w:p w:rsidR="001D5B30" w:rsidRPr="00C27EBC" w:rsidRDefault="001D5B30" w:rsidP="00C27EBC">
            <w:pPr>
              <w:numPr>
                <w:ilvl w:val="0"/>
                <w:numId w:val="2"/>
              </w:numPr>
              <w:ind w:left="360"/>
              <w:rPr>
                <w:sz w:val="20"/>
                <w:szCs w:val="20"/>
              </w:rPr>
            </w:pPr>
            <w:r w:rsidRPr="00C27EBC">
              <w:rPr>
                <w:sz w:val="20"/>
                <w:szCs w:val="20"/>
              </w:rPr>
              <w:t xml:space="preserve">A variety of hands-on techniques, investigations, real-world contexts and group work that engage and stimulate students to think about math are a part of this curriculum. </w:t>
            </w:r>
          </w:p>
          <w:p w:rsidR="001D5B30" w:rsidRPr="00C27EBC" w:rsidRDefault="001D5B30" w:rsidP="00C27EBC">
            <w:pPr>
              <w:numPr>
                <w:ilvl w:val="0"/>
                <w:numId w:val="2"/>
              </w:numPr>
              <w:ind w:left="360"/>
              <w:rPr>
                <w:sz w:val="20"/>
                <w:szCs w:val="20"/>
              </w:rPr>
            </w:pPr>
            <w:r w:rsidRPr="00C27EBC">
              <w:rPr>
                <w:sz w:val="20"/>
                <w:szCs w:val="20"/>
              </w:rPr>
              <w:t>Students are encouraged to be engaged and motivated in the completion of their assignments.</w:t>
            </w:r>
          </w:p>
          <w:p w:rsidR="004979C3" w:rsidRDefault="004979C3" w:rsidP="00C27EBC">
            <w:pPr>
              <w:rPr>
                <w:b/>
                <w:sz w:val="20"/>
                <w:szCs w:val="20"/>
              </w:rPr>
            </w:pPr>
          </w:p>
          <w:p w:rsidR="001D5B30" w:rsidRPr="00C27EBC" w:rsidRDefault="001D5B30" w:rsidP="00C27EBC">
            <w:pPr>
              <w:rPr>
                <w:b/>
                <w:sz w:val="20"/>
                <w:szCs w:val="20"/>
              </w:rPr>
            </w:pPr>
            <w:r w:rsidRPr="00C27EBC">
              <w:rPr>
                <w:b/>
                <w:sz w:val="20"/>
                <w:szCs w:val="20"/>
              </w:rPr>
              <w:lastRenderedPageBreak/>
              <w:t>Make Up Work</w:t>
            </w:r>
          </w:p>
          <w:p w:rsidR="001D5B30" w:rsidRPr="00C27EBC" w:rsidRDefault="001D5B30" w:rsidP="00C27EBC">
            <w:pPr>
              <w:numPr>
                <w:ilvl w:val="0"/>
                <w:numId w:val="2"/>
              </w:numPr>
              <w:ind w:left="360"/>
              <w:rPr>
                <w:sz w:val="20"/>
                <w:szCs w:val="20"/>
              </w:rPr>
            </w:pPr>
            <w:r w:rsidRPr="00C27EBC">
              <w:rPr>
                <w:sz w:val="20"/>
                <w:szCs w:val="20"/>
              </w:rPr>
              <w:t>Make-up work will be provided upon request for a student who has been absent, if the absence is excused. It is the responsibility of the student or parent to request and arrange to obtain make-up wor</w:t>
            </w:r>
            <w:bookmarkStart w:id="0" w:name="_GoBack"/>
            <w:bookmarkEnd w:id="0"/>
            <w:r w:rsidRPr="00C27EBC">
              <w:rPr>
                <w:sz w:val="20"/>
                <w:szCs w:val="20"/>
              </w:rPr>
              <w:t xml:space="preserve">k no later than the second school day after returning to class or school from the absence. </w:t>
            </w:r>
          </w:p>
          <w:p w:rsidR="001D5B30" w:rsidRPr="00C27EBC" w:rsidRDefault="001D5B30" w:rsidP="00C27EBC">
            <w:pPr>
              <w:numPr>
                <w:ilvl w:val="0"/>
                <w:numId w:val="2"/>
              </w:numPr>
              <w:ind w:left="360"/>
              <w:rPr>
                <w:rFonts w:ascii="Times New Roman" w:hAnsi="Times New Roman" w:cs="Times New Roman"/>
                <w:sz w:val="20"/>
                <w:szCs w:val="20"/>
              </w:rPr>
            </w:pPr>
            <w:r w:rsidRPr="00C27EBC">
              <w:rPr>
                <w:sz w:val="20"/>
                <w:szCs w:val="20"/>
              </w:rPr>
              <w:t xml:space="preserve">Students shall be given at least the same number of days they were absent plus one additional day to make up assignments. The make-up period begins on the next school day following the absence(s). </w:t>
            </w:r>
          </w:p>
          <w:p w:rsidR="0048208A" w:rsidRPr="00C27EBC" w:rsidRDefault="001D5B30" w:rsidP="00C27EBC">
            <w:pPr>
              <w:numPr>
                <w:ilvl w:val="0"/>
                <w:numId w:val="2"/>
              </w:numPr>
              <w:ind w:left="360"/>
              <w:rPr>
                <w:rFonts w:ascii="Times New Roman" w:hAnsi="Times New Roman" w:cs="Times New Roman"/>
                <w:sz w:val="20"/>
                <w:szCs w:val="20"/>
              </w:rPr>
            </w:pPr>
            <w:r w:rsidRPr="00C27EBC">
              <w:rPr>
                <w:sz w:val="20"/>
                <w:szCs w:val="20"/>
              </w:rPr>
              <w:t>Students are eligible to receive full credit for make-up work completed and submitted by dates and times established in this policy or as may otherwise be arranged with the teacher and/or administrator. Credit may be denied for make-up work completed after the designated deadline. Credit may be reduced for in-class or group activities missed, such as labs, presentations, or assessments which are not readily able to be completed with comparable make-up assignments and/or without the validity of the assignment being compromised.</w:t>
            </w:r>
          </w:p>
        </w:tc>
      </w:tr>
      <w:tr w:rsidR="0048208A" w:rsidRPr="00A5101C" w:rsidTr="00C27EBC">
        <w:tc>
          <w:tcPr>
            <w:tcW w:w="10015" w:type="dxa"/>
            <w:tcBorders>
              <w:bottom w:val="single" w:sz="4" w:space="0" w:color="auto"/>
            </w:tcBorders>
            <w:shd w:val="clear" w:color="auto" w:fill="FFFFFF" w:themeFill="background1"/>
          </w:tcPr>
          <w:p w:rsidR="0048208A" w:rsidRPr="00C27EBC" w:rsidRDefault="0048208A" w:rsidP="00C27EBC">
            <w:pPr>
              <w:jc w:val="center"/>
              <w:rPr>
                <w:rFonts w:cstheme="minorHAnsi"/>
                <w:b/>
                <w:sz w:val="20"/>
                <w:szCs w:val="20"/>
              </w:rPr>
            </w:pPr>
            <w:r w:rsidRPr="00C27EBC">
              <w:rPr>
                <w:rFonts w:cstheme="minorHAnsi"/>
                <w:b/>
                <w:sz w:val="20"/>
                <w:szCs w:val="20"/>
              </w:rPr>
              <w:lastRenderedPageBreak/>
              <w:t xml:space="preserve">Student </w:t>
            </w:r>
            <w:r w:rsidR="00C27EBC">
              <w:rPr>
                <w:rFonts w:cstheme="minorHAnsi"/>
                <w:b/>
                <w:sz w:val="20"/>
                <w:szCs w:val="20"/>
              </w:rPr>
              <w:t xml:space="preserve">Behavior </w:t>
            </w:r>
            <w:r w:rsidRPr="00C27EBC">
              <w:rPr>
                <w:rFonts w:cstheme="minorHAnsi"/>
                <w:b/>
                <w:sz w:val="20"/>
                <w:szCs w:val="20"/>
              </w:rPr>
              <w:t>Expectations</w:t>
            </w:r>
          </w:p>
        </w:tc>
      </w:tr>
      <w:tr w:rsidR="0048208A" w:rsidRPr="003C51E9" w:rsidTr="00C27EBC">
        <w:tc>
          <w:tcPr>
            <w:tcW w:w="10015" w:type="dxa"/>
            <w:shd w:val="clear" w:color="auto" w:fill="FFFFFF" w:themeFill="background1"/>
          </w:tcPr>
          <w:p w:rsidR="0048208A" w:rsidRPr="00C27EBC" w:rsidRDefault="001D5B30" w:rsidP="00C27EBC">
            <w:pPr>
              <w:tabs>
                <w:tab w:val="left" w:pos="4170"/>
              </w:tabs>
              <w:rPr>
                <w:rFonts w:cstheme="minorHAnsi"/>
                <w:sz w:val="20"/>
                <w:szCs w:val="20"/>
              </w:rPr>
            </w:pPr>
            <w:r w:rsidRPr="00C27EBC">
              <w:rPr>
                <w:sz w:val="20"/>
                <w:szCs w:val="20"/>
              </w:rPr>
              <w:t xml:space="preserve"> I expect students to be engaged in the class during the period, this would include no personal music devices or use of cell phones.  Students should come to class ready to participate with a good attitude and respectful behavior. If there are issues, I will start with a warning then move to a student conference, parent phone call, detention, or the involvement of student relations.  This would depend upon severity and consistency of the behavior.</w:t>
            </w:r>
          </w:p>
        </w:tc>
      </w:tr>
    </w:tbl>
    <w:p w:rsidR="00334458" w:rsidRPr="00BA3244" w:rsidRDefault="00334458"/>
    <w:p w:rsidR="00124DA3" w:rsidRDefault="00124DA3" w:rsidP="00124DA3">
      <w:pPr>
        <w:spacing w:before="240"/>
        <w:rPr>
          <w:b/>
          <w:spacing w:val="60"/>
          <w:sz w:val="20"/>
          <w:szCs w:val="24"/>
        </w:rPr>
      </w:pPr>
    </w:p>
    <w:p w:rsidR="009D5EC3" w:rsidRDefault="009D5EC3" w:rsidP="00124DA3">
      <w:pPr>
        <w:spacing w:before="240"/>
        <w:rPr>
          <w:b/>
          <w:spacing w:val="60"/>
          <w:sz w:val="20"/>
          <w:szCs w:val="24"/>
        </w:rPr>
      </w:pPr>
      <w:r w:rsidRPr="00124DA3">
        <w:rPr>
          <w:noProof/>
        </w:rPr>
        <mc:AlternateContent>
          <mc:Choice Requires="wps">
            <w:drawing>
              <wp:anchor distT="0" distB="0" distL="114300" distR="114300" simplePos="0" relativeHeight="251661312" behindDoc="0" locked="0" layoutInCell="1" allowOverlap="1" wp14:anchorId="0A1A2BB1" wp14:editId="290ADA6D">
                <wp:simplePos x="0" y="0"/>
                <wp:positionH relativeFrom="column">
                  <wp:posOffset>3867150</wp:posOffset>
                </wp:positionH>
                <wp:positionV relativeFrom="paragraph">
                  <wp:posOffset>97790</wp:posOffset>
                </wp:positionV>
                <wp:extent cx="2524125" cy="657225"/>
                <wp:effectExtent l="19050" t="1905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57225"/>
                        </a:xfrm>
                        <a:prstGeom prst="rect">
                          <a:avLst/>
                        </a:prstGeom>
                        <a:noFill/>
                        <a:ln w="44450" cmpd="thinThick">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124DA3" w:rsidRPr="006456BA" w:rsidRDefault="00124DA3" w:rsidP="00124DA3">
                            <w:pPr>
                              <w:jc w:val="center"/>
                              <w:rPr>
                                <w:rFonts w:ascii="Book Antiqua" w:hAnsi="Book Antiqua"/>
                                <w:sz w:val="24"/>
                              </w:rPr>
                            </w:pPr>
                            <w:r w:rsidRPr="006456BA">
                              <w:rPr>
                                <w:rFonts w:ascii="Book Antiqua" w:hAnsi="Book Antiqua"/>
                                <w:sz w:val="24"/>
                              </w:rPr>
                              <w:t>Colorado Legacy Schools</w:t>
                            </w:r>
                          </w:p>
                          <w:p w:rsidR="00124DA3" w:rsidRPr="006456BA" w:rsidRDefault="00124DA3" w:rsidP="00124DA3">
                            <w:pPr>
                              <w:jc w:val="center"/>
                              <w:rPr>
                                <w:rFonts w:ascii="Book Antiqua" w:hAnsi="Book Antiqua"/>
                                <w:sz w:val="24"/>
                              </w:rPr>
                            </w:pPr>
                            <w:r>
                              <w:rPr>
                                <w:rFonts w:ascii="Book Antiqua" w:hAnsi="Book Antiqua"/>
                                <w:sz w:val="24"/>
                              </w:rPr>
                              <w:t>Region 1 (Denver)</w:t>
                            </w:r>
                            <w:r w:rsidRPr="006456BA">
                              <w:rPr>
                                <w:rFonts w:ascii="Book Antiqua" w:hAnsi="Book Antiqua"/>
                                <w:sz w:val="24"/>
                              </w:rPr>
                              <w:t>: 201</w:t>
                            </w:r>
                            <w:r w:rsidR="004979C3">
                              <w:rPr>
                                <w:rFonts w:ascii="Book Antiqua" w:hAnsi="Book Antiqua"/>
                                <w:sz w:val="24"/>
                              </w:rPr>
                              <w:t>4</w:t>
                            </w:r>
                            <w:r w:rsidRPr="006456BA">
                              <w:rPr>
                                <w:rFonts w:ascii="Book Antiqua" w:hAnsi="Book Antiqua"/>
                                <w:sz w:val="24"/>
                              </w:rPr>
                              <w:t>-201</w:t>
                            </w:r>
                            <w:r w:rsidR="004979C3">
                              <w:rPr>
                                <w:rFonts w:ascii="Book Antiqua" w:hAnsi="Book Antiqua"/>
                                <w:sz w:val="24"/>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4.5pt;margin-top:7.7pt;width:198.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" filled="f" strokecolor="#1f497d" strokeweight="3.5pt">
                <v:stroke linestyle="thinThick"/>
                <v:textbox inset=",7.2pt,,7.2pt">
                  <w:txbxContent>
                    <w:p w:rsidR="00124DA3" w:rsidRPr="006456BA" w:rsidRDefault="00124DA3" w:rsidP="00124DA3">
                      <w:pPr>
                        <w:jc w:val="center"/>
                        <w:rPr>
                          <w:rFonts w:ascii="Book Antiqua" w:hAnsi="Book Antiqua"/>
                          <w:sz w:val="24"/>
                        </w:rPr>
                      </w:pPr>
                      <w:r w:rsidRPr="006456BA">
                        <w:rPr>
                          <w:rFonts w:ascii="Book Antiqua" w:hAnsi="Book Antiqua"/>
                          <w:sz w:val="24"/>
                        </w:rPr>
                        <w:t>Colorado Legacy Schools</w:t>
                      </w:r>
                    </w:p>
                    <w:p w:rsidR="00124DA3" w:rsidRPr="006456BA" w:rsidRDefault="00124DA3" w:rsidP="00124DA3">
                      <w:pPr>
                        <w:jc w:val="center"/>
                        <w:rPr>
                          <w:rFonts w:ascii="Book Antiqua" w:hAnsi="Book Antiqua"/>
                          <w:sz w:val="24"/>
                        </w:rPr>
                      </w:pPr>
                      <w:r>
                        <w:rPr>
                          <w:rFonts w:ascii="Book Antiqua" w:hAnsi="Book Antiqua"/>
                          <w:sz w:val="24"/>
                        </w:rPr>
                        <w:t>Region 1 (Denver)</w:t>
                      </w:r>
                      <w:r w:rsidRPr="006456BA">
                        <w:rPr>
                          <w:rFonts w:ascii="Book Antiqua" w:hAnsi="Book Antiqua"/>
                          <w:sz w:val="24"/>
                        </w:rPr>
                        <w:t>: 201</w:t>
                      </w:r>
                      <w:r w:rsidR="004979C3">
                        <w:rPr>
                          <w:rFonts w:ascii="Book Antiqua" w:hAnsi="Book Antiqua"/>
                          <w:sz w:val="24"/>
                        </w:rPr>
                        <w:t>4</w:t>
                      </w:r>
                      <w:r w:rsidRPr="006456BA">
                        <w:rPr>
                          <w:rFonts w:ascii="Book Antiqua" w:hAnsi="Book Antiqua"/>
                          <w:sz w:val="24"/>
                        </w:rPr>
                        <w:t>-201</w:t>
                      </w:r>
                      <w:r w:rsidR="004979C3">
                        <w:rPr>
                          <w:rFonts w:ascii="Book Antiqua" w:hAnsi="Book Antiqua"/>
                          <w:sz w:val="24"/>
                        </w:rPr>
                        <w:t>5</w:t>
                      </w:r>
                    </w:p>
                  </w:txbxContent>
                </v:textbox>
              </v:shape>
            </w:pict>
          </mc:Fallback>
        </mc:AlternateContent>
      </w:r>
    </w:p>
    <w:p w:rsidR="009D5EC3" w:rsidRDefault="009D5EC3" w:rsidP="00124DA3">
      <w:pPr>
        <w:spacing w:before="240"/>
        <w:rPr>
          <w:b/>
          <w:spacing w:val="60"/>
          <w:sz w:val="20"/>
          <w:szCs w:val="24"/>
        </w:rPr>
      </w:pPr>
      <w:r w:rsidRPr="009C600C">
        <w:rPr>
          <w:noProof/>
        </w:rPr>
        <w:drawing>
          <wp:anchor distT="0" distB="0" distL="114300" distR="114300" simplePos="0" relativeHeight="251659264" behindDoc="0" locked="0" layoutInCell="1" allowOverlap="1" wp14:anchorId="11449F10" wp14:editId="1096F3F8">
            <wp:simplePos x="0" y="0"/>
            <wp:positionH relativeFrom="column">
              <wp:posOffset>-304800</wp:posOffset>
            </wp:positionH>
            <wp:positionV relativeFrom="paragraph">
              <wp:posOffset>134620</wp:posOffset>
            </wp:positionV>
            <wp:extent cx="203835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anchor>
        </w:drawing>
      </w:r>
    </w:p>
    <w:p w:rsidR="009D5EC3" w:rsidRDefault="009D5EC3" w:rsidP="00124DA3">
      <w:pPr>
        <w:spacing w:before="240"/>
        <w:rPr>
          <w:b/>
          <w:spacing w:val="60"/>
          <w:sz w:val="20"/>
          <w:szCs w:val="24"/>
        </w:rPr>
      </w:pPr>
    </w:p>
    <w:p w:rsidR="00124DA3" w:rsidRDefault="00124DA3" w:rsidP="00124DA3">
      <w:pPr>
        <w:spacing w:before="240"/>
        <w:rPr>
          <w:b/>
          <w:spacing w:val="60"/>
          <w:sz w:val="20"/>
          <w:szCs w:val="24"/>
        </w:rPr>
      </w:pPr>
    </w:p>
    <w:p w:rsidR="00124DA3" w:rsidRPr="00124DA3" w:rsidRDefault="00124DA3" w:rsidP="00124DA3">
      <w:pPr>
        <w:spacing w:before="240"/>
        <w:rPr>
          <w:b/>
          <w:color w:val="000000"/>
          <w:sz w:val="20"/>
          <w:szCs w:val="24"/>
        </w:rPr>
      </w:pPr>
      <w:r w:rsidRPr="00124DA3">
        <w:rPr>
          <w:b/>
          <w:spacing w:val="60"/>
          <w:sz w:val="20"/>
          <w:szCs w:val="24"/>
        </w:rPr>
        <w:t xml:space="preserve">CONGRATULATIONS! </w:t>
      </w:r>
      <w:r w:rsidRPr="00124DA3">
        <w:rPr>
          <w:b/>
          <w:color w:val="000000"/>
          <w:sz w:val="20"/>
          <w:szCs w:val="24"/>
        </w:rPr>
        <w:t xml:space="preserve">Your student has enrolled in Colorado Legacy Schools Advanced Placement in affiliation with the National Math &amp; Science Initiative.  The AP program prepares students for college-level work and students can potentially earn college credit.  Students who successfully complete an AP course are three times more likely to graduate college within 5 years.  Through this grant, students will receive increased levels of support such as Saturday Study Sessions, a mock exam, test fee assistance, structured tutorials, and financial incentives.  </w:t>
      </w:r>
    </w:p>
    <w:p w:rsidR="00124DA3" w:rsidRPr="00124DA3" w:rsidRDefault="00124DA3" w:rsidP="00124DA3">
      <w:pPr>
        <w:spacing w:before="240"/>
        <w:jc w:val="center"/>
        <w:rPr>
          <w:b/>
          <w:spacing w:val="60"/>
          <w:szCs w:val="24"/>
        </w:rPr>
      </w:pPr>
      <w:r w:rsidRPr="00124DA3">
        <w:rPr>
          <w:b/>
          <w:spacing w:val="60"/>
          <w:szCs w:val="24"/>
        </w:rPr>
        <w:t>INCENTIVES</w:t>
      </w:r>
    </w:p>
    <w:p w:rsidR="00124DA3" w:rsidRPr="00124DA3" w:rsidRDefault="00124DA3" w:rsidP="00124DA3">
      <w:pPr>
        <w:rPr>
          <w:color w:val="000000"/>
          <w:sz w:val="20"/>
          <w:szCs w:val="24"/>
        </w:rPr>
      </w:pPr>
      <w:r w:rsidRPr="00124DA3">
        <w:rPr>
          <w:color w:val="000000"/>
          <w:sz w:val="20"/>
          <w:szCs w:val="24"/>
        </w:rPr>
        <w:t>Students will earn $100 for every score of 3, 4, or 5 on math, science, and English AP exams. Additionally, qualifying scores of 3, 4, and 5 can earn students college credit.</w:t>
      </w:r>
    </w:p>
    <w:p w:rsidR="00124DA3" w:rsidRPr="00124DA3" w:rsidRDefault="00124DA3" w:rsidP="00124DA3">
      <w:pPr>
        <w:spacing w:before="240"/>
        <w:jc w:val="center"/>
        <w:rPr>
          <w:b/>
          <w:spacing w:val="60"/>
          <w:sz w:val="20"/>
          <w:szCs w:val="24"/>
        </w:rPr>
      </w:pPr>
      <w:r w:rsidRPr="00124DA3">
        <w:rPr>
          <w:b/>
          <w:spacing w:val="60"/>
          <w:szCs w:val="24"/>
        </w:rPr>
        <w:t>SATURDAY STUDY SESSIONS</w:t>
      </w:r>
    </w:p>
    <w:p w:rsidR="00124DA3" w:rsidRPr="00124DA3" w:rsidRDefault="00124DA3" w:rsidP="00124DA3">
      <w:pPr>
        <w:rPr>
          <w:color w:val="000000"/>
          <w:sz w:val="20"/>
          <w:szCs w:val="24"/>
        </w:rPr>
      </w:pPr>
      <w:r w:rsidRPr="00124DA3">
        <w:rPr>
          <w:color w:val="000000"/>
          <w:sz w:val="20"/>
          <w:szCs w:val="24"/>
        </w:rPr>
        <w:t xml:space="preserve">These 4.5-hour review sessions are conducted by content specialists to help prepare students for the AP exam.  Students who attend all of these sessions have the </w:t>
      </w:r>
      <w:r w:rsidRPr="00124DA3">
        <w:rPr>
          <w:b/>
          <w:color w:val="000000"/>
          <w:sz w:val="20"/>
          <w:szCs w:val="24"/>
          <w:u w:val="single"/>
        </w:rPr>
        <w:t>greatest chance</w:t>
      </w:r>
      <w:r w:rsidRPr="00124DA3">
        <w:rPr>
          <w:color w:val="000000"/>
          <w:sz w:val="20"/>
          <w:szCs w:val="24"/>
        </w:rPr>
        <w:t xml:space="preserve"> of earning a 3, 4, or 5 on the exam and earning college credit.  Breakfast is provided!</w:t>
      </w:r>
      <w:r w:rsidR="009D5EC3">
        <w:rPr>
          <w:color w:val="000000"/>
          <w:sz w:val="20"/>
          <w:szCs w:val="24"/>
        </w:rPr>
        <w:t xml:space="preserve">  Dates will be announced as soon as we know them.</w:t>
      </w:r>
    </w:p>
    <w:p w:rsidR="00124DA3" w:rsidRPr="00124DA3" w:rsidRDefault="00124DA3" w:rsidP="00124DA3">
      <w:pPr>
        <w:rPr>
          <w:b/>
          <w:spacing w:val="60"/>
          <w:sz w:val="2"/>
          <w:szCs w:val="24"/>
        </w:rPr>
      </w:pPr>
    </w:p>
    <w:p w:rsidR="00124DA3" w:rsidRPr="00124DA3" w:rsidRDefault="00124DA3" w:rsidP="00124DA3">
      <w:pPr>
        <w:spacing w:before="240"/>
        <w:jc w:val="center"/>
        <w:rPr>
          <w:b/>
          <w:spacing w:val="60"/>
          <w:sz w:val="24"/>
          <w:szCs w:val="24"/>
        </w:rPr>
      </w:pPr>
      <w:r w:rsidRPr="00124DA3">
        <w:rPr>
          <w:b/>
          <w:spacing w:val="60"/>
          <w:szCs w:val="24"/>
        </w:rPr>
        <w:t xml:space="preserve">MOCK EXAM </w:t>
      </w:r>
    </w:p>
    <w:p w:rsidR="00124DA3" w:rsidRPr="00124DA3" w:rsidRDefault="00124DA3" w:rsidP="00124DA3">
      <w:pPr>
        <w:rPr>
          <w:color w:val="000000"/>
          <w:sz w:val="20"/>
          <w:szCs w:val="24"/>
        </w:rPr>
      </w:pPr>
      <w:r w:rsidRPr="00124DA3">
        <w:rPr>
          <w:color w:val="000000"/>
          <w:sz w:val="20"/>
          <w:szCs w:val="24"/>
        </w:rPr>
        <w:t>The best preparation for any AP exam is PRACTICE.  This full-length practice exam is a critical component to your student’s success.</w:t>
      </w:r>
      <w:r w:rsidR="009D5EC3">
        <w:rPr>
          <w:color w:val="000000"/>
          <w:sz w:val="20"/>
          <w:szCs w:val="24"/>
        </w:rPr>
        <w:t xml:space="preserve">  The date will be announced soon.</w:t>
      </w:r>
    </w:p>
    <w:p w:rsidR="00124DA3" w:rsidRPr="00124DA3" w:rsidRDefault="00124DA3" w:rsidP="00124DA3">
      <w:pPr>
        <w:spacing w:line="276" w:lineRule="auto"/>
        <w:jc w:val="center"/>
        <w:rPr>
          <w:sz w:val="8"/>
          <w:szCs w:val="24"/>
        </w:rPr>
      </w:pPr>
    </w:p>
    <w:p w:rsidR="000C2956" w:rsidRDefault="000C2956"/>
    <w:sectPr w:rsidR="000C2956" w:rsidSect="00AA1B6B">
      <w:headerReference w:type="default" r:id="rId11"/>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F6" w:rsidRDefault="00A238F6" w:rsidP="00AA1B6B">
      <w:r>
        <w:separator/>
      </w:r>
    </w:p>
  </w:endnote>
  <w:endnote w:type="continuationSeparator" w:id="0">
    <w:p w:rsidR="00A238F6" w:rsidRDefault="00A238F6"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F6" w:rsidRDefault="00A238F6" w:rsidP="00AA1B6B">
      <w:r>
        <w:separator/>
      </w:r>
    </w:p>
  </w:footnote>
  <w:footnote w:type="continuationSeparator" w:id="0">
    <w:p w:rsidR="00A238F6" w:rsidRDefault="00A238F6"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290"/>
    <w:multiLevelType w:val="hybridMultilevel"/>
    <w:tmpl w:val="AE4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630B5"/>
    <w:multiLevelType w:val="hybridMultilevel"/>
    <w:tmpl w:val="6BD43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C0477D"/>
    <w:multiLevelType w:val="hybridMultilevel"/>
    <w:tmpl w:val="A266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01B37"/>
    <w:multiLevelType w:val="hybridMultilevel"/>
    <w:tmpl w:val="7C8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17180"/>
    <w:multiLevelType w:val="hybridMultilevel"/>
    <w:tmpl w:val="33187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3683C"/>
    <w:multiLevelType w:val="hybridMultilevel"/>
    <w:tmpl w:val="13D2A1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671806"/>
    <w:multiLevelType w:val="hybridMultilevel"/>
    <w:tmpl w:val="A4A4C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BB71DE"/>
    <w:multiLevelType w:val="hybridMultilevel"/>
    <w:tmpl w:val="328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B4C95"/>
    <w:multiLevelType w:val="hybridMultilevel"/>
    <w:tmpl w:val="806E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6B"/>
    <w:rsid w:val="000C2956"/>
    <w:rsid w:val="00114E60"/>
    <w:rsid w:val="00124DA3"/>
    <w:rsid w:val="00176FC3"/>
    <w:rsid w:val="001774C4"/>
    <w:rsid w:val="001B4331"/>
    <w:rsid w:val="001D5B30"/>
    <w:rsid w:val="001F2D97"/>
    <w:rsid w:val="001F36A4"/>
    <w:rsid w:val="002A6DBB"/>
    <w:rsid w:val="00313CCA"/>
    <w:rsid w:val="00315E0E"/>
    <w:rsid w:val="00334458"/>
    <w:rsid w:val="00334DC2"/>
    <w:rsid w:val="003372A6"/>
    <w:rsid w:val="0037714E"/>
    <w:rsid w:val="003C51E9"/>
    <w:rsid w:val="003E2265"/>
    <w:rsid w:val="0048208A"/>
    <w:rsid w:val="004979C3"/>
    <w:rsid w:val="004A1A06"/>
    <w:rsid w:val="004B6B2F"/>
    <w:rsid w:val="004E7B94"/>
    <w:rsid w:val="00570649"/>
    <w:rsid w:val="00585FF2"/>
    <w:rsid w:val="005E1321"/>
    <w:rsid w:val="0062255C"/>
    <w:rsid w:val="00630FA8"/>
    <w:rsid w:val="00643CBF"/>
    <w:rsid w:val="00652C41"/>
    <w:rsid w:val="00654580"/>
    <w:rsid w:val="00664BCC"/>
    <w:rsid w:val="006A14C8"/>
    <w:rsid w:val="007B5691"/>
    <w:rsid w:val="007D2E64"/>
    <w:rsid w:val="00806927"/>
    <w:rsid w:val="008139FF"/>
    <w:rsid w:val="008E5670"/>
    <w:rsid w:val="008F3CB0"/>
    <w:rsid w:val="009D5EC3"/>
    <w:rsid w:val="00A01E41"/>
    <w:rsid w:val="00A238F6"/>
    <w:rsid w:val="00A25325"/>
    <w:rsid w:val="00A5101C"/>
    <w:rsid w:val="00A523E0"/>
    <w:rsid w:val="00A84AF8"/>
    <w:rsid w:val="00AA1B6B"/>
    <w:rsid w:val="00AA5F6A"/>
    <w:rsid w:val="00AB38C3"/>
    <w:rsid w:val="00AE15BF"/>
    <w:rsid w:val="00B60605"/>
    <w:rsid w:val="00BA3244"/>
    <w:rsid w:val="00BA6E62"/>
    <w:rsid w:val="00C110EA"/>
    <w:rsid w:val="00C27EBC"/>
    <w:rsid w:val="00C8073C"/>
    <w:rsid w:val="00C93E07"/>
    <w:rsid w:val="00CB4D6A"/>
    <w:rsid w:val="00CB64A9"/>
    <w:rsid w:val="00CE711F"/>
    <w:rsid w:val="00D00EF0"/>
    <w:rsid w:val="00D4493D"/>
    <w:rsid w:val="00D51BFC"/>
    <w:rsid w:val="00D7735A"/>
    <w:rsid w:val="00DA7133"/>
    <w:rsid w:val="00DB7FC9"/>
    <w:rsid w:val="00E10023"/>
    <w:rsid w:val="00E21871"/>
    <w:rsid w:val="00EB1C2B"/>
    <w:rsid w:val="00EE3DC4"/>
    <w:rsid w:val="00EE4ABE"/>
    <w:rsid w:val="00F03AB0"/>
    <w:rsid w:val="00F079DB"/>
    <w:rsid w:val="00F2096D"/>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ic.adams12.org/campus/portal/adams12.i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17F9-496C-4F21-BA88-A4DA5BF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Jenni</cp:lastModifiedBy>
  <cp:revision>2</cp:revision>
  <cp:lastPrinted>2013-08-20T17:51:00Z</cp:lastPrinted>
  <dcterms:created xsi:type="dcterms:W3CDTF">2014-08-16T12:22:00Z</dcterms:created>
  <dcterms:modified xsi:type="dcterms:W3CDTF">2014-08-16T12:22:00Z</dcterms:modified>
</cp:coreProperties>
</file>